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17" w:rsidRPr="00D30D00" w:rsidRDefault="001D7289" w:rsidP="001D728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проект</w:t>
      </w:r>
    </w:p>
    <w:p w:rsidR="001D7289" w:rsidRPr="00D30D00" w:rsidRDefault="001D7289" w:rsidP="00717F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Cs/>
          <w:noProof/>
          <w:kern w:val="2"/>
          <w:sz w:val="28"/>
          <w:szCs w:val="28"/>
          <w:lang w:eastAsia="ru-RU"/>
        </w:rPr>
        <w:drawing>
          <wp:inline distT="0" distB="0" distL="0" distR="0" wp14:anchorId="0EEAC404" wp14:editId="5F6E953C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FB1" w:rsidRPr="00D30D00" w:rsidRDefault="00717FB1" w:rsidP="00717F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ДУМА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ТРУНОВСКОГО МУНИЦИПАЛЬНОГО </w:t>
      </w:r>
      <w:r w:rsidR="000E34C7"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ОКРУГА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СТАВРОПОЛЬСКОГО КРАЯ 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36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36"/>
          <w:szCs w:val="36"/>
          <w:lang w:eastAsia="ar-SA"/>
        </w:rPr>
        <w:t>Р Е Ш Е Н И Е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D10717" w:rsidRPr="00D30D00" w:rsidRDefault="00016553" w:rsidP="00D10717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2022</w:t>
      </w:r>
      <w:r w:rsidR="00D10717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г.       </w:t>
      </w:r>
      <w:r w:rsidR="00E2137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        </w:t>
      </w:r>
      <w:r w:rsidR="00D10717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           с. Донское                                           </w:t>
      </w:r>
      <w:r w:rsidR="00AA7839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</w:t>
      </w:r>
      <w:r w:rsidR="00D10717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№  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3E4A83" w:rsidRPr="00D30D00" w:rsidRDefault="003E4A83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D605E4" w:rsidRPr="00D30D00" w:rsidRDefault="00D10717" w:rsidP="00D60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О</w:t>
      </w:r>
      <w:r w:rsidR="001D7289" w:rsidRPr="00D30D0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01306" w:rsidRPr="00D30D00">
        <w:rPr>
          <w:rFonts w:ascii="Times New Roman" w:hAnsi="Times New Roman" w:cs="Times New Roman"/>
          <w:sz w:val="28"/>
          <w:szCs w:val="28"/>
        </w:rPr>
        <w:t xml:space="preserve"> П</w:t>
      </w:r>
      <w:r w:rsidR="001D72DD" w:rsidRPr="00D30D00">
        <w:rPr>
          <w:rFonts w:ascii="Times New Roman" w:hAnsi="Times New Roman" w:cs="Times New Roman"/>
          <w:sz w:val="28"/>
          <w:szCs w:val="28"/>
        </w:rPr>
        <w:t>оложени</w:t>
      </w:r>
      <w:r w:rsidR="001D7289" w:rsidRPr="00D30D00">
        <w:rPr>
          <w:rFonts w:ascii="Times New Roman" w:hAnsi="Times New Roman" w:cs="Times New Roman"/>
          <w:sz w:val="28"/>
          <w:szCs w:val="28"/>
        </w:rPr>
        <w:t>е</w:t>
      </w:r>
      <w:r w:rsidR="001D72DD" w:rsidRPr="00D30D0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</w:t>
      </w:r>
      <w:r w:rsidR="003F758F" w:rsidRPr="00D30D00">
        <w:rPr>
          <w:rFonts w:ascii="Times New Roman" w:hAnsi="Times New Roman" w:cs="Times New Roman"/>
          <w:sz w:val="28"/>
          <w:szCs w:val="28"/>
        </w:rPr>
        <w:t xml:space="preserve"> </w:t>
      </w:r>
      <w:r w:rsidR="001D72DD" w:rsidRPr="00D30D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A2DD6" w:rsidRPr="00D30D0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1D72DD" w:rsidRPr="00D3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38" w:rsidRPr="00D30D00" w:rsidRDefault="001D72DD" w:rsidP="00D60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в Труновском муниципальном </w:t>
      </w:r>
      <w:r w:rsidR="00D10717" w:rsidRPr="00D30D00">
        <w:rPr>
          <w:rFonts w:ascii="Times New Roman" w:hAnsi="Times New Roman" w:cs="Times New Roman"/>
          <w:sz w:val="28"/>
          <w:szCs w:val="28"/>
        </w:rPr>
        <w:t>округе</w:t>
      </w:r>
      <w:r w:rsidR="003F758F" w:rsidRPr="00D30D00">
        <w:rPr>
          <w:rFonts w:ascii="Times New Roman" w:hAnsi="Times New Roman" w:cs="Times New Roman"/>
          <w:sz w:val="28"/>
          <w:szCs w:val="28"/>
        </w:rPr>
        <w:t xml:space="preserve"> </w:t>
      </w:r>
      <w:r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F1A38" w:rsidRPr="00D30D00" w:rsidRDefault="00BF1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8F" w:rsidRPr="00D30D00" w:rsidRDefault="005A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60C" w:rsidRPr="00D30D00" w:rsidRDefault="00BF1A38" w:rsidP="00EB3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D00">
        <w:rPr>
          <w:rFonts w:ascii="Times New Roman" w:hAnsi="Times New Roman"/>
          <w:sz w:val="28"/>
          <w:szCs w:val="28"/>
        </w:rPr>
        <w:t>В</w:t>
      </w:r>
      <w:r w:rsidR="008916C6" w:rsidRPr="00D30D00">
        <w:rPr>
          <w:rFonts w:ascii="Times New Roman" w:hAnsi="Times New Roman"/>
          <w:sz w:val="28"/>
          <w:szCs w:val="28"/>
        </w:rPr>
        <w:t xml:space="preserve"> </w:t>
      </w:r>
      <w:r w:rsidR="00BD2D8F" w:rsidRPr="00D30D00">
        <w:rPr>
          <w:rFonts w:ascii="Times New Roman" w:hAnsi="Times New Roman"/>
          <w:sz w:val="28"/>
          <w:szCs w:val="28"/>
        </w:rPr>
        <w:t>соответствии</w:t>
      </w:r>
      <w:r w:rsidR="008916C6" w:rsidRPr="00D30D00">
        <w:rPr>
          <w:rFonts w:ascii="Times New Roman" w:hAnsi="Times New Roman"/>
          <w:sz w:val="28"/>
          <w:szCs w:val="28"/>
        </w:rPr>
        <w:t xml:space="preserve"> </w:t>
      </w:r>
      <w:r w:rsidRPr="00D30D00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D30D00">
          <w:rPr>
            <w:rFonts w:ascii="Times New Roman" w:hAnsi="Times New Roman"/>
            <w:sz w:val="28"/>
            <w:szCs w:val="28"/>
          </w:rPr>
          <w:t>статьей 28</w:t>
        </w:r>
      </w:hyperlink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Pr="00D30D00">
        <w:rPr>
          <w:rFonts w:ascii="Times New Roman" w:hAnsi="Times New Roman"/>
          <w:sz w:val="28"/>
          <w:szCs w:val="28"/>
        </w:rPr>
        <w:t>Федерального</w:t>
      </w:r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Pr="00D30D00">
        <w:rPr>
          <w:rFonts w:ascii="Times New Roman" w:hAnsi="Times New Roman"/>
          <w:sz w:val="28"/>
          <w:szCs w:val="28"/>
        </w:rPr>
        <w:t>закона от</w:t>
      </w:r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="008916C6" w:rsidRPr="00D30D00">
        <w:rPr>
          <w:rFonts w:ascii="Times New Roman" w:hAnsi="Times New Roman"/>
          <w:sz w:val="28"/>
          <w:szCs w:val="28"/>
        </w:rPr>
        <w:t>0</w:t>
      </w:r>
      <w:r w:rsidRPr="00D30D00">
        <w:rPr>
          <w:rFonts w:ascii="Times New Roman" w:hAnsi="Times New Roman"/>
          <w:sz w:val="28"/>
          <w:szCs w:val="28"/>
        </w:rPr>
        <w:t>6 октября</w:t>
      </w:r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="00BD2D8F" w:rsidRPr="00D30D00">
        <w:rPr>
          <w:rFonts w:ascii="Times New Roman" w:hAnsi="Times New Roman"/>
          <w:sz w:val="28"/>
          <w:szCs w:val="28"/>
        </w:rPr>
        <w:t xml:space="preserve">       </w:t>
      </w:r>
      <w:r w:rsidRPr="00D30D00">
        <w:rPr>
          <w:rFonts w:ascii="Times New Roman" w:hAnsi="Times New Roman"/>
          <w:sz w:val="28"/>
          <w:szCs w:val="28"/>
        </w:rPr>
        <w:t xml:space="preserve">2003 </w:t>
      </w:r>
      <w:r w:rsidR="00EB3374" w:rsidRPr="00D30D00">
        <w:rPr>
          <w:rFonts w:ascii="Times New Roman" w:hAnsi="Times New Roman"/>
          <w:sz w:val="28"/>
          <w:szCs w:val="28"/>
        </w:rPr>
        <w:t>года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301306" w:rsidRPr="00D30D00">
        <w:rPr>
          <w:rFonts w:ascii="Times New Roman" w:hAnsi="Times New Roman"/>
          <w:sz w:val="28"/>
          <w:szCs w:val="28"/>
        </w:rPr>
        <w:t>№</w:t>
      </w:r>
      <w:r w:rsidRPr="00D30D00">
        <w:rPr>
          <w:rFonts w:ascii="Times New Roman" w:hAnsi="Times New Roman"/>
          <w:sz w:val="28"/>
          <w:szCs w:val="28"/>
        </w:rPr>
        <w:t xml:space="preserve"> 131-ФЗ </w:t>
      </w:r>
      <w:r w:rsidR="00301306" w:rsidRPr="00D30D00">
        <w:rPr>
          <w:rFonts w:ascii="Times New Roman" w:hAnsi="Times New Roman"/>
          <w:sz w:val="28"/>
          <w:szCs w:val="28"/>
        </w:rPr>
        <w:t>«</w:t>
      </w:r>
      <w:r w:rsidRPr="00D30D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306" w:rsidRPr="00D30D00">
        <w:rPr>
          <w:rFonts w:ascii="Times New Roman" w:hAnsi="Times New Roman"/>
          <w:sz w:val="28"/>
          <w:szCs w:val="28"/>
        </w:rPr>
        <w:t>»</w:t>
      </w:r>
      <w:r w:rsidRPr="00D30D0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D30D00">
          <w:rPr>
            <w:rFonts w:ascii="Times New Roman" w:hAnsi="Times New Roman"/>
            <w:sz w:val="28"/>
            <w:szCs w:val="28"/>
          </w:rPr>
          <w:t>Законом</w:t>
        </w:r>
      </w:hyperlink>
      <w:r w:rsidRPr="00D30D00">
        <w:rPr>
          <w:rFonts w:ascii="Times New Roman" w:hAnsi="Times New Roman"/>
          <w:sz w:val="28"/>
          <w:szCs w:val="28"/>
        </w:rPr>
        <w:t xml:space="preserve"> Ставропольского края от 2 марта 2005 года </w:t>
      </w:r>
      <w:r w:rsidR="00301306" w:rsidRPr="00D30D00">
        <w:rPr>
          <w:rFonts w:ascii="Times New Roman" w:hAnsi="Times New Roman"/>
          <w:sz w:val="28"/>
          <w:szCs w:val="28"/>
        </w:rPr>
        <w:t>№</w:t>
      </w:r>
      <w:r w:rsidRPr="00D30D00">
        <w:rPr>
          <w:rFonts w:ascii="Times New Roman" w:hAnsi="Times New Roman"/>
          <w:sz w:val="28"/>
          <w:szCs w:val="28"/>
        </w:rPr>
        <w:t xml:space="preserve"> 12-кз </w:t>
      </w:r>
      <w:r w:rsidR="00301306" w:rsidRPr="00D30D00">
        <w:rPr>
          <w:rFonts w:ascii="Times New Roman" w:hAnsi="Times New Roman"/>
          <w:sz w:val="28"/>
          <w:szCs w:val="28"/>
        </w:rPr>
        <w:t>«</w:t>
      </w:r>
      <w:r w:rsidRPr="00D30D0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301306" w:rsidRPr="00D30D00">
        <w:rPr>
          <w:rFonts w:ascii="Times New Roman" w:hAnsi="Times New Roman"/>
          <w:sz w:val="28"/>
          <w:szCs w:val="28"/>
        </w:rPr>
        <w:t>»</w:t>
      </w:r>
      <w:r w:rsidR="001E0E9A" w:rsidRPr="00D30D00">
        <w:rPr>
          <w:rFonts w:ascii="Times New Roman" w:hAnsi="Times New Roman"/>
          <w:sz w:val="28"/>
          <w:szCs w:val="28"/>
        </w:rPr>
        <w:t>,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C674BB" w:rsidRPr="00D30D00">
        <w:rPr>
          <w:rFonts w:ascii="Times New Roman" w:eastAsiaTheme="minorHAnsi" w:hAnsi="Times New Roman"/>
          <w:sz w:val="28"/>
          <w:szCs w:val="28"/>
        </w:rPr>
        <w:t>п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остановлением Правительства Р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Ф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>едерации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от 03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 xml:space="preserve"> февраля 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2022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 xml:space="preserve"> г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ода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№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101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 xml:space="preserve"> «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Об утверждении Правил использования федеральной государс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твенной информационной системы «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уг (функций)»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в целях организации 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 xml:space="preserve">и проведения публичных слушаний», статьей 13, пунктами 8, 45 части 2 </w:t>
      </w:r>
      <w:r w:rsidR="00C674BB" w:rsidRPr="00D30D00">
        <w:rPr>
          <w:rFonts w:ascii="Times New Roman" w:eastAsiaTheme="minorHAnsi" w:hAnsi="Times New Roman"/>
          <w:sz w:val="28"/>
          <w:szCs w:val="28"/>
        </w:rPr>
        <w:t xml:space="preserve">   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 xml:space="preserve">статьи 30 Устава Труновского муниципального округа Ставропольского края, </w:t>
      </w:r>
      <w:r w:rsidR="00D10717" w:rsidRPr="00D30D00">
        <w:rPr>
          <w:rFonts w:ascii="Times New Roman" w:hAnsi="Times New Roman"/>
          <w:sz w:val="28"/>
          <w:szCs w:val="28"/>
        </w:rPr>
        <w:t>Дума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9855BE" w:rsidRPr="00D30D00">
        <w:rPr>
          <w:rFonts w:ascii="Times New Roman" w:hAnsi="Times New Roman"/>
          <w:sz w:val="28"/>
          <w:szCs w:val="28"/>
        </w:rPr>
        <w:t>Труновского</w:t>
      </w:r>
      <w:r w:rsidRPr="00D30D00">
        <w:rPr>
          <w:rFonts w:ascii="Times New Roman" w:hAnsi="Times New Roman"/>
          <w:sz w:val="28"/>
          <w:szCs w:val="28"/>
        </w:rPr>
        <w:t xml:space="preserve"> муниципального </w:t>
      </w:r>
      <w:r w:rsidR="00D10717" w:rsidRPr="00D30D00">
        <w:rPr>
          <w:rFonts w:ascii="Times New Roman" w:hAnsi="Times New Roman"/>
          <w:sz w:val="28"/>
          <w:szCs w:val="28"/>
        </w:rPr>
        <w:t>округа</w:t>
      </w:r>
      <w:r w:rsidRPr="00D30D00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36692A" w:rsidRPr="00D30D00" w:rsidRDefault="0036692A" w:rsidP="001D728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38" w:rsidRPr="00D30D00" w:rsidRDefault="0009660C" w:rsidP="003669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РЕШИЛ</w:t>
      </w:r>
      <w:r w:rsidR="00D10717" w:rsidRPr="00D30D00">
        <w:rPr>
          <w:rFonts w:ascii="Times New Roman" w:hAnsi="Times New Roman" w:cs="Times New Roman"/>
          <w:sz w:val="28"/>
          <w:szCs w:val="28"/>
        </w:rPr>
        <w:t>А</w:t>
      </w:r>
      <w:r w:rsidR="00BF1A38" w:rsidRPr="00D30D00">
        <w:rPr>
          <w:rFonts w:ascii="Times New Roman" w:hAnsi="Times New Roman" w:cs="Times New Roman"/>
          <w:sz w:val="28"/>
          <w:szCs w:val="28"/>
        </w:rPr>
        <w:t>:</w:t>
      </w:r>
    </w:p>
    <w:p w:rsidR="00BF1A38" w:rsidRPr="00D30D00" w:rsidRDefault="00BF1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8" w:rsidRPr="00D30D00" w:rsidRDefault="00BD2D8F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1. </w:t>
      </w:r>
      <w:r w:rsidR="00EC10ED" w:rsidRPr="00D30D0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="00BF1A38" w:rsidRPr="00D30D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93844" w:rsidRPr="00D30D00">
        <w:rPr>
          <w:rFonts w:ascii="Times New Roman" w:hAnsi="Times New Roman" w:cs="Times New Roman"/>
          <w:sz w:val="28"/>
          <w:szCs w:val="28"/>
        </w:rPr>
        <w:t xml:space="preserve"> о порядке организации и </w:t>
      </w:r>
      <w:r w:rsidR="00BF1A38" w:rsidRPr="00D30D00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4257EF" w:rsidRPr="00D30D0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BF1A38" w:rsidRPr="00D30D00">
        <w:rPr>
          <w:rFonts w:ascii="Times New Roman" w:hAnsi="Times New Roman" w:cs="Times New Roman"/>
          <w:sz w:val="28"/>
          <w:szCs w:val="28"/>
        </w:rPr>
        <w:t xml:space="preserve"> в </w:t>
      </w:r>
      <w:r w:rsidR="009855BE" w:rsidRPr="00D30D00">
        <w:rPr>
          <w:rFonts w:ascii="Times New Roman" w:hAnsi="Times New Roman" w:cs="Times New Roman"/>
          <w:sz w:val="28"/>
          <w:szCs w:val="28"/>
        </w:rPr>
        <w:t>Труновском</w:t>
      </w:r>
      <w:r w:rsidR="00BF1A38" w:rsidRPr="00D30D0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25039" w:rsidRPr="00D30D00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BF1A38"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C10ED" w:rsidRPr="00D30D00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Труновского муниципального округа Ставропольского края </w:t>
      </w:r>
      <w:r w:rsidR="00A00AC7" w:rsidRPr="00D30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2BE4" w:rsidRPr="00D30D00">
        <w:rPr>
          <w:rFonts w:ascii="Times New Roman" w:hAnsi="Times New Roman" w:cs="Times New Roman"/>
          <w:sz w:val="28"/>
          <w:szCs w:val="28"/>
        </w:rPr>
        <w:t xml:space="preserve">от 08 октября 2020 г. № 12, </w:t>
      </w:r>
      <w:r w:rsidR="00EC10ED" w:rsidRPr="00D30D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2A33" w:rsidRPr="00D30D00" w:rsidRDefault="00EC10ED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1.1. </w:t>
      </w:r>
      <w:r w:rsidR="00B22A33" w:rsidRPr="00D30D00">
        <w:rPr>
          <w:rFonts w:ascii="Times New Roman" w:hAnsi="Times New Roman" w:cs="Times New Roman"/>
          <w:sz w:val="28"/>
          <w:szCs w:val="28"/>
        </w:rPr>
        <w:t>В абзаце шестом</w:t>
      </w:r>
      <w:r w:rsidR="00E21372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B22A33" w:rsidRPr="00D30D00">
        <w:rPr>
          <w:rFonts w:ascii="Times New Roman" w:hAnsi="Times New Roman" w:cs="Times New Roman"/>
          <w:sz w:val="28"/>
          <w:szCs w:val="28"/>
        </w:rPr>
        <w:t xml:space="preserve"> статьи 1 слова «(далее – комиссия)» исключить;</w:t>
      </w:r>
    </w:p>
    <w:p w:rsidR="00EC10ED" w:rsidRPr="00D30D00" w:rsidRDefault="00B22A3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1.2. </w:t>
      </w:r>
      <w:r w:rsidR="00EC10ED" w:rsidRPr="00D30D00">
        <w:rPr>
          <w:rFonts w:ascii="Times New Roman" w:hAnsi="Times New Roman" w:cs="Times New Roman"/>
          <w:sz w:val="28"/>
          <w:szCs w:val="28"/>
        </w:rPr>
        <w:t>В части 2 статьи 4 слова «общественные обс</w:t>
      </w:r>
      <w:r w:rsidR="00231C7B" w:rsidRPr="00D30D00">
        <w:rPr>
          <w:rFonts w:ascii="Times New Roman" w:hAnsi="Times New Roman" w:cs="Times New Roman"/>
          <w:sz w:val="28"/>
          <w:szCs w:val="28"/>
        </w:rPr>
        <w:t>у</w:t>
      </w:r>
      <w:r w:rsidR="00EC10ED" w:rsidRPr="00D30D00">
        <w:rPr>
          <w:rFonts w:ascii="Times New Roman" w:hAnsi="Times New Roman" w:cs="Times New Roman"/>
          <w:sz w:val="28"/>
          <w:szCs w:val="28"/>
        </w:rPr>
        <w:t xml:space="preserve">ждения или публичные слушания» заменить словами </w:t>
      </w:r>
      <w:r w:rsidR="00231C7B" w:rsidRPr="00D30D00">
        <w:rPr>
          <w:rFonts w:ascii="Times New Roman" w:hAnsi="Times New Roman" w:cs="Times New Roman"/>
          <w:sz w:val="28"/>
          <w:szCs w:val="28"/>
        </w:rPr>
        <w:t>«публичные слушания или общественные обсуждения в соответствии с законодательством о градостроительной деятельности»;</w:t>
      </w:r>
    </w:p>
    <w:p w:rsidR="00231C7B" w:rsidRPr="00D30D00" w:rsidRDefault="00231C7B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 В статье 6:</w:t>
      </w:r>
    </w:p>
    <w:p w:rsidR="00231C7B" w:rsidRPr="00D30D00" w:rsidRDefault="00231C7B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 xml:space="preserve">.1. в </w:t>
      </w:r>
      <w:r w:rsidR="00502E20" w:rsidRPr="00D30D00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D30D00">
        <w:rPr>
          <w:rFonts w:ascii="Times New Roman" w:hAnsi="Times New Roman" w:cs="Times New Roman"/>
          <w:sz w:val="28"/>
          <w:szCs w:val="28"/>
        </w:rPr>
        <w:t>части 1 слово «района» заменить словом «округа»;</w:t>
      </w:r>
    </w:p>
    <w:p w:rsidR="005B5102" w:rsidRPr="00D30D00" w:rsidRDefault="00B22A3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1.3</w:t>
      </w:r>
      <w:r w:rsidR="00231C7B" w:rsidRPr="00D30D00">
        <w:rPr>
          <w:rFonts w:ascii="Times New Roman" w:hAnsi="Times New Roman" w:cs="Times New Roman"/>
          <w:sz w:val="28"/>
          <w:szCs w:val="28"/>
        </w:rPr>
        <w:t xml:space="preserve">.2. </w:t>
      </w:r>
      <w:r w:rsidR="005B5102" w:rsidRPr="00D30D00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231C7B" w:rsidRPr="00D30D00" w:rsidRDefault="005B5102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D30D0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 проведении публичных слушаний, обеспечивает опубликование сообщения о проведении публичных слушаний, а также полный текст </w:t>
      </w:r>
      <w:r w:rsidR="00BB64B0" w:rsidRPr="00D30D00">
        <w:rPr>
          <w:rFonts w:ascii="Times New Roman" w:hAnsi="Times New Roman" w:cs="Times New Roman"/>
          <w:sz w:val="28"/>
          <w:szCs w:val="28"/>
        </w:rPr>
        <w:t>муниципального правового акта, выносимого на публичные слушания, не позднее 7 календарных дней до дня проведения публичных слушаний, и</w:t>
      </w:r>
      <w:r w:rsidR="00B44607">
        <w:rPr>
          <w:rFonts w:ascii="Times New Roman" w:hAnsi="Times New Roman" w:cs="Times New Roman"/>
          <w:sz w:val="28"/>
          <w:szCs w:val="28"/>
        </w:rPr>
        <w:t xml:space="preserve"> (или)</w:t>
      </w:r>
      <w:r w:rsidR="00BB64B0" w:rsidRPr="00D30D00">
        <w:rPr>
          <w:rFonts w:ascii="Times New Roman" w:hAnsi="Times New Roman" w:cs="Times New Roman"/>
          <w:sz w:val="28"/>
          <w:szCs w:val="28"/>
        </w:rPr>
        <w:t xml:space="preserve"> </w:t>
      </w:r>
      <w:r w:rsidR="00862842" w:rsidRPr="00D30D00">
        <w:rPr>
          <w:rFonts w:ascii="Times New Roman" w:hAnsi="Times New Roman" w:cs="Times New Roman"/>
          <w:sz w:val="28"/>
          <w:szCs w:val="28"/>
        </w:rPr>
        <w:t xml:space="preserve">обнародует </w:t>
      </w:r>
      <w:r w:rsidR="00BB64B0" w:rsidRPr="00D30D00">
        <w:rPr>
          <w:rFonts w:ascii="Times New Roman" w:hAnsi="Times New Roman" w:cs="Times New Roman"/>
          <w:sz w:val="28"/>
          <w:szCs w:val="28"/>
        </w:rPr>
        <w:t xml:space="preserve">указанное сообщение </w:t>
      </w:r>
      <w:r w:rsidR="00D25A9A" w:rsidRPr="00D30D0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BB64B0" w:rsidRPr="00D30D0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Труновского муниципального округа Ставропольского края (далее – официальный сайт) </w:t>
      </w:r>
      <w:r w:rsidR="006A76FF" w:rsidRPr="00D30D00">
        <w:rPr>
          <w:rFonts w:ascii="Times New Roman" w:hAnsi="Times New Roman" w:cs="Times New Roman"/>
          <w:sz w:val="28"/>
          <w:szCs w:val="28"/>
        </w:rPr>
        <w:t>и в</w:t>
      </w:r>
      <w:proofErr w:type="gramEnd"/>
      <w:r w:rsidR="006A76FF" w:rsidRPr="00D30D00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</w:t>
      </w:r>
      <w:r w:rsidR="009B4743" w:rsidRPr="00D30D00">
        <w:rPr>
          <w:rFonts w:ascii="Times New Roman" w:hAnsi="Times New Roman" w:cs="Times New Roman"/>
          <w:sz w:val="28"/>
          <w:szCs w:val="28"/>
        </w:rPr>
        <w:t>системе «Единый портал государственных и муниципальных услуг (функций)» (далее – единый портал)</w:t>
      </w:r>
      <w:r w:rsidR="005A63F9" w:rsidRPr="00D30D00">
        <w:rPr>
          <w:rFonts w:ascii="Times New Roman" w:hAnsi="Times New Roman" w:cs="Times New Roman"/>
          <w:sz w:val="28"/>
          <w:szCs w:val="28"/>
        </w:rPr>
        <w:t>.</w:t>
      </w:r>
    </w:p>
    <w:p w:rsidR="00862842" w:rsidRPr="00D30D00" w:rsidRDefault="009B474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D00">
        <w:rPr>
          <w:rFonts w:ascii="Times New Roman" w:hAnsi="Times New Roman" w:cs="Times New Roman"/>
          <w:sz w:val="28"/>
          <w:szCs w:val="28"/>
        </w:rPr>
        <w:t>Для организации</w:t>
      </w:r>
      <w:r w:rsidR="005A63F9" w:rsidRPr="00D30D00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на едином портале используется платформа обратной связи единого портала</w:t>
      </w:r>
      <w:r w:rsidR="00DF02FE" w:rsidRPr="00D30D0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«Интернет».</w:t>
      </w:r>
      <w:proofErr w:type="gramEnd"/>
    </w:p>
    <w:p w:rsidR="009B4743" w:rsidRPr="00D30D00" w:rsidRDefault="00862842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Со дня опубликования (об</w:t>
      </w:r>
      <w:r w:rsidR="00D25A9A" w:rsidRPr="00D30D00">
        <w:rPr>
          <w:rFonts w:ascii="Times New Roman" w:hAnsi="Times New Roman" w:cs="Times New Roman"/>
          <w:sz w:val="28"/>
          <w:szCs w:val="28"/>
        </w:rPr>
        <w:t xml:space="preserve">народования) сообщения о проведении публичных слушаний, их участники считаются </w:t>
      </w:r>
      <w:r w:rsidR="00091778" w:rsidRPr="00D30D00">
        <w:rPr>
          <w:rFonts w:ascii="Times New Roman" w:hAnsi="Times New Roman" w:cs="Times New Roman"/>
          <w:sz w:val="28"/>
          <w:szCs w:val="28"/>
        </w:rPr>
        <w:t>оповещенными</w:t>
      </w:r>
      <w:r w:rsidR="001D230F" w:rsidRPr="00D30D00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</w:t>
      </w:r>
      <w:proofErr w:type="gramStart"/>
      <w:r w:rsidR="001D230F" w:rsidRPr="00D30D00">
        <w:rPr>
          <w:rFonts w:ascii="Times New Roman" w:hAnsi="Times New Roman" w:cs="Times New Roman"/>
          <w:sz w:val="28"/>
          <w:szCs w:val="28"/>
        </w:rPr>
        <w:t>.</w:t>
      </w:r>
      <w:r w:rsidR="00DF02FE" w:rsidRPr="00D30D0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F02FE" w:rsidRPr="00D30D00" w:rsidRDefault="00DF02FE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</w:t>
      </w:r>
      <w:r w:rsidR="0007036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 абзац первый части 5 дополнить словами</w:t>
      </w:r>
      <w:r w:rsidR="00E351F8" w:rsidRPr="00D30D00">
        <w:rPr>
          <w:rFonts w:ascii="Times New Roman" w:hAnsi="Times New Roman" w:cs="Times New Roman"/>
          <w:sz w:val="28"/>
          <w:szCs w:val="28"/>
        </w:rPr>
        <w:t xml:space="preserve"> «, в том числе с использованием платформы обратной связи»;</w:t>
      </w:r>
    </w:p>
    <w:p w:rsidR="000B39D7" w:rsidRPr="00D30D00" w:rsidRDefault="000B39D7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</w:t>
      </w:r>
      <w:r w:rsidR="000F08C4" w:rsidRPr="00D30D00">
        <w:rPr>
          <w:rFonts w:ascii="Times New Roman" w:hAnsi="Times New Roman" w:cs="Times New Roman"/>
          <w:sz w:val="28"/>
          <w:szCs w:val="28"/>
        </w:rPr>
        <w:t>4</w:t>
      </w:r>
      <w:r w:rsidRPr="00D30D00">
        <w:rPr>
          <w:rFonts w:ascii="Times New Roman" w:hAnsi="Times New Roman" w:cs="Times New Roman"/>
          <w:sz w:val="28"/>
          <w:szCs w:val="28"/>
        </w:rPr>
        <w:t>. часть 5 дополнить абзацем  следующего содержания:</w:t>
      </w:r>
    </w:p>
    <w:p w:rsidR="000B39D7" w:rsidRPr="00D30D00" w:rsidRDefault="000B39D7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D00">
        <w:rPr>
          <w:rFonts w:ascii="Times New Roman" w:hAnsi="Times New Roman" w:cs="Times New Roman"/>
          <w:sz w:val="28"/>
          <w:szCs w:val="28"/>
        </w:rPr>
        <w:t>«Замечания и предложения по вынесенному на обсуждение проекту муниципального правового акта могут быть представлены жителем муниципального округа с использованием единого портала с даты опубликования органом местного самоуправления муниципального округа на едином портале материалов и информации по обсуждаемому проекту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D30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D0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30D00">
        <w:rPr>
          <w:rFonts w:ascii="Times New Roman" w:hAnsi="Times New Roman" w:cs="Times New Roman"/>
          <w:sz w:val="28"/>
          <w:szCs w:val="28"/>
        </w:rPr>
        <w:t>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округа.»;</w:t>
      </w:r>
    </w:p>
    <w:p w:rsidR="00E351F8" w:rsidRPr="00D30D00" w:rsidRDefault="00E351F8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</w:t>
      </w:r>
      <w:r w:rsidR="000F08C4" w:rsidRPr="00D30D00">
        <w:rPr>
          <w:rFonts w:ascii="Times New Roman" w:hAnsi="Times New Roman" w:cs="Times New Roman"/>
          <w:sz w:val="28"/>
          <w:szCs w:val="28"/>
        </w:rPr>
        <w:t>5</w:t>
      </w:r>
      <w:r w:rsidRPr="00D30D00">
        <w:rPr>
          <w:rFonts w:ascii="Times New Roman" w:hAnsi="Times New Roman" w:cs="Times New Roman"/>
          <w:sz w:val="28"/>
          <w:szCs w:val="28"/>
        </w:rPr>
        <w:t>. часть 8 изложить в следующей редакции:</w:t>
      </w:r>
    </w:p>
    <w:p w:rsidR="00E351F8" w:rsidRPr="00D30D00" w:rsidRDefault="00E351F8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«8. </w:t>
      </w:r>
      <w:r w:rsidR="00C834DB" w:rsidRPr="00D30D00">
        <w:rPr>
          <w:rFonts w:ascii="Times New Roman" w:hAnsi="Times New Roman" w:cs="Times New Roman"/>
          <w:sz w:val="28"/>
          <w:szCs w:val="28"/>
        </w:rPr>
        <w:t>Подготовка заключения о результатах публичных слушаний осуществляется комиссией в течение семи дней со дня проведения публичных слушаний, если иной срок не установлен законодательством</w:t>
      </w:r>
      <w:proofErr w:type="gramStart"/>
      <w:r w:rsidR="00C834DB" w:rsidRPr="00D30D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1372" w:rsidRDefault="000B39D7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="000F08C4" w:rsidRPr="00D30D00">
        <w:rPr>
          <w:rFonts w:ascii="Times New Roman" w:hAnsi="Times New Roman" w:cs="Times New Roman"/>
          <w:sz w:val="28"/>
          <w:szCs w:val="28"/>
        </w:rPr>
        <w:t>.6</w:t>
      </w:r>
      <w:r w:rsidR="00C834DB" w:rsidRPr="00D30D00">
        <w:rPr>
          <w:rFonts w:ascii="Times New Roman" w:hAnsi="Times New Roman" w:cs="Times New Roman"/>
          <w:sz w:val="28"/>
          <w:szCs w:val="28"/>
        </w:rPr>
        <w:t xml:space="preserve">. </w:t>
      </w:r>
      <w:r w:rsidR="00E21372">
        <w:rPr>
          <w:rFonts w:ascii="Times New Roman" w:hAnsi="Times New Roman" w:cs="Times New Roman"/>
          <w:sz w:val="28"/>
          <w:szCs w:val="28"/>
        </w:rPr>
        <w:t>в</w:t>
      </w:r>
      <w:r w:rsidR="00414EF9">
        <w:rPr>
          <w:rFonts w:ascii="Times New Roman" w:hAnsi="Times New Roman" w:cs="Times New Roman"/>
          <w:sz w:val="28"/>
          <w:szCs w:val="28"/>
        </w:rPr>
        <w:t xml:space="preserve"> абзаце пятом</w:t>
      </w:r>
      <w:r w:rsidR="00E21372">
        <w:rPr>
          <w:rFonts w:ascii="Times New Roman" w:hAnsi="Times New Roman" w:cs="Times New Roman"/>
          <w:sz w:val="28"/>
          <w:szCs w:val="28"/>
        </w:rPr>
        <w:t xml:space="preserve"> части 9 слово «района» заменить словом </w:t>
      </w:r>
      <w:r w:rsidR="00414EF9">
        <w:rPr>
          <w:rFonts w:ascii="Times New Roman" w:hAnsi="Times New Roman" w:cs="Times New Roman"/>
          <w:sz w:val="28"/>
          <w:szCs w:val="28"/>
        </w:rPr>
        <w:t>«округа»;</w:t>
      </w:r>
    </w:p>
    <w:p w:rsidR="00C834DB" w:rsidRPr="00D30D00" w:rsidRDefault="00414EF9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C834DB" w:rsidRPr="00D30D00">
        <w:rPr>
          <w:rFonts w:ascii="Times New Roman" w:hAnsi="Times New Roman" w:cs="Times New Roman"/>
          <w:sz w:val="28"/>
          <w:szCs w:val="28"/>
        </w:rPr>
        <w:t>абзац второй части 10 дополнить словами «и в соответствующем разделе платформы обратной связи единого портала»</w:t>
      </w:r>
      <w:r w:rsidR="00CA321C" w:rsidRPr="00D30D00">
        <w:rPr>
          <w:rFonts w:ascii="Times New Roman" w:hAnsi="Times New Roman" w:cs="Times New Roman"/>
          <w:sz w:val="28"/>
          <w:szCs w:val="28"/>
        </w:rPr>
        <w:t>;</w:t>
      </w:r>
    </w:p>
    <w:p w:rsidR="00CA321C" w:rsidRPr="00D30D00" w:rsidRDefault="00CA321C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4</w:t>
      </w:r>
      <w:r w:rsidRPr="00D30D00">
        <w:rPr>
          <w:rFonts w:ascii="Times New Roman" w:hAnsi="Times New Roman" w:cs="Times New Roman"/>
          <w:sz w:val="28"/>
          <w:szCs w:val="28"/>
        </w:rPr>
        <w:t>. В части 1</w:t>
      </w:r>
      <w:r w:rsidR="00414333" w:rsidRPr="00D30D00">
        <w:rPr>
          <w:rFonts w:ascii="Times New Roman" w:hAnsi="Times New Roman" w:cs="Times New Roman"/>
          <w:sz w:val="28"/>
          <w:szCs w:val="28"/>
        </w:rPr>
        <w:t>статьи 9 слово «района» заменить словом «округа»;</w:t>
      </w:r>
    </w:p>
    <w:p w:rsidR="00414333" w:rsidRPr="00D30D00" w:rsidRDefault="0041433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5</w:t>
      </w:r>
      <w:r w:rsidRPr="00D30D00">
        <w:rPr>
          <w:rFonts w:ascii="Times New Roman" w:hAnsi="Times New Roman" w:cs="Times New Roman"/>
          <w:sz w:val="28"/>
          <w:szCs w:val="28"/>
        </w:rPr>
        <w:t>. Статью 10 изложить в следующей редакции:</w:t>
      </w:r>
    </w:p>
    <w:p w:rsidR="00414333" w:rsidRPr="00D30D00" w:rsidRDefault="00414333" w:rsidP="0041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«Статья 10.</w:t>
      </w:r>
      <w:r w:rsidRPr="00D30D00">
        <w:rPr>
          <w:rFonts w:ascii="Times New Roman" w:hAnsi="Times New Roman"/>
          <w:sz w:val="28"/>
          <w:szCs w:val="28"/>
        </w:rPr>
        <w:t xml:space="preserve"> Особенности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округа Ставропольского края</w:t>
      </w:r>
    </w:p>
    <w:p w:rsidR="00414333" w:rsidRPr="00D30D00" w:rsidRDefault="00414333" w:rsidP="00B40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40262" w:rsidRPr="00D30D00">
        <w:rPr>
          <w:rFonts w:ascii="Times New Roman" w:eastAsia="Times New Roman" w:hAnsi="Times New Roman"/>
          <w:sz w:val="28"/>
          <w:szCs w:val="28"/>
          <w:lang w:eastAsia="ru-RU"/>
        </w:rPr>
        <w:t>По вопросам градостроительной деятельности н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а публичные слушания выносятся: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проекты генеральных планов, за исключением случаев, предусмотренных </w:t>
      </w:r>
      <w:hyperlink r:id="rId1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18 статьи 24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(далее – Градостроительный кодекс);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проекты правил землепользования и застройки, за исключением случаев, установленных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31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проекты планировки территории, за исключением случаев, предусмотренных </w:t>
      </w:r>
      <w:hyperlink r:id="rId1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5.1 статьи 46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проекты межевания территории, за исключением случаев, предусмотренных </w:t>
      </w:r>
      <w:hyperlink r:id="rId13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12 статьи 43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5.1 статьи 46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B40262" w:rsidRPr="00D30D00" w:rsidRDefault="00B40262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5) проекты правил благоустройства;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6) проекты, предусматривающие внесение изменений в один из вышеуказанных утвержденных документов.</w:t>
      </w:r>
    </w:p>
    <w:p w:rsidR="00414333" w:rsidRPr="00D30D00" w:rsidRDefault="00B40262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На общественные обсуждения выносятся: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установленных </w:t>
      </w:r>
      <w:hyperlink r:id="rId1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11 статьи 39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14333" w:rsidRPr="00D30D00" w:rsidRDefault="00F240E4" w:rsidP="0041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Органом, уполномоченным на организацию и проведение публичных слушаний или общественных обсуждений по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роектам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, указанным в частях 1 и 2 настоящей 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администрация Труновского муниципального округа Ставропольского края (далее -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рганизатор).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проведения публичных слушаний или общественных обсуждений правовым актом администрации </w:t>
      </w:r>
      <w:r w:rsidR="002B147C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муниципального округа Ставропольского края </w:t>
      </w:r>
      <w:r w:rsidR="00786879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="00AA7A88" w:rsidRPr="00D30D00">
        <w:rPr>
          <w:rFonts w:ascii="Times New Roman" w:eastAsia="Times New Roman" w:hAnsi="Times New Roman"/>
          <w:sz w:val="28"/>
          <w:szCs w:val="28"/>
          <w:lang w:eastAsia="ru-RU"/>
        </w:rPr>
        <w:t>создаватьс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комиссия по организации и проведению публичных слушаний или общественных обсуждений (далее - 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омиссия).</w:t>
      </w:r>
    </w:p>
    <w:p w:rsidR="00414333" w:rsidRPr="00D30D00" w:rsidRDefault="00414333" w:rsidP="0041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Комиссия осуществляет свою работу с учетом статьи 6 настоящего Положения.</w:t>
      </w:r>
    </w:p>
    <w:p w:rsidR="003105BC" w:rsidRPr="00D30D00" w:rsidRDefault="00A50B2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59"/>
      <w:bookmarkEnd w:id="0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 назначении публичных слушаний или общественных обсуждений по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роектам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, указанным в частях 1 и 2 настоящей статьи,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на основании письма органа местного самоуправления, заинтересованного в проведении публичных слушаний или общественных обсуждений. 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проведении публичных слушаний принимается в форме правового акта Главы муниципального округа, </w:t>
      </w:r>
      <w:r w:rsidR="003105BC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общественным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обсуждениям в форме правового акта администрации 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A50B23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равовой акт).</w:t>
      </w:r>
    </w:p>
    <w:p w:rsidR="00414333" w:rsidRPr="00D30D00" w:rsidRDefault="00A50B2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трех календарных дней со дня принятия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равового акта в соответствии с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</w:t>
      </w:r>
      <w:r w:rsidR="00013DF0" w:rsidRPr="00D30D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стояще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BC" w:rsidRPr="00D30D00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комиссия, в случае ее создания,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оповещения о проведении публичных слушаний или общественных обсуждений (далее – </w:t>
      </w:r>
      <w:r w:rsidR="00013DF0"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повещение) с учетом требований, установленных </w:t>
      </w:r>
      <w:hyperlink r:id="rId1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6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7 статьи 5.1</w:t>
        </w:r>
      </w:hyperlink>
      <w:r w:rsidR="00AA72C5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Форма Оповещения установлена </w:t>
      </w:r>
      <w:hyperlink r:id="rId18" w:anchor="Par115" w:tooltip="                  Оповещение о начале публичных слуша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приложениями № 1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hyperlink r:id="rId19" w:anchor="Par255" w:tooltip="                Оповещение о начале общественных обсужде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414333" w:rsidRPr="00D30D00" w:rsidRDefault="003105BC" w:rsidP="004143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879" w:rsidRPr="00D30D00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(организатор)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обеспечивает опубликование (обнародование) оповещения о проведении публичных слушаний или общественных обсуждений не позднее 7 календарных дней до дня проведения публичных слушаний или общественных обсуждений.</w:t>
      </w:r>
    </w:p>
    <w:p w:rsidR="008736C4" w:rsidRPr="00D30D00" w:rsidRDefault="003A3A42" w:rsidP="00873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Оповещение о проведении общественных обсуждений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770717" w:rsidRPr="00D30D00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</w:t>
      </w:r>
      <w:r w:rsidR="008736C4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источниках официального опубликования </w:t>
      </w:r>
      <w:r w:rsidR="0077071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44607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77071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обнародованию путем размещения </w:t>
      </w:r>
      <w:r w:rsidR="0038290F" w:rsidRPr="00D30D0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8736C4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6C4" w:rsidRPr="00D30D00" w:rsidRDefault="008736C4" w:rsidP="008736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о проведении публичных слушаний </w:t>
      </w:r>
      <w:r w:rsidR="0038290F" w:rsidRPr="00D30D00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 (обнародованию) в источниках, указанных в статье 6 настоящего Положения.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 (обнародования) оповещения о проведении публичных слушаний или общественных обсуждений, их участники считаются оповещенными о времени и месте проведения публичных слушаний или общественных обсуждений.</w:t>
      </w:r>
    </w:p>
    <w:p w:rsidR="00414333" w:rsidRPr="00D30D00" w:rsidRDefault="00414333" w:rsidP="00414333">
      <w:pPr>
        <w:spacing w:after="1" w:line="220" w:lineRule="atLeast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В случаях</w:t>
      </w:r>
      <w:bookmarkStart w:id="1" w:name="_GoBack"/>
      <w:bookmarkEnd w:id="1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общественных обсуждений по вопросам разрешения на условно разрешенный вид использования земельного участка или объекта капитального строительства, а также отклонение от предельных параметров разрешенного строительства, реконструкции объектов капитального строительства, организатор направляет сообщения о проведении общественных обсуждений по </w:t>
      </w:r>
      <w:r w:rsidR="00775C50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роекту правообладателям земельных участков, имеющих общие границы с земельным участком или помещений, являющихся частью объекта капитального строительства, применительно к которым запрашивается</w:t>
      </w:r>
      <w:proofErr w:type="gramEnd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строительства. Указанные сообщения направл</w:t>
      </w:r>
      <w:r w:rsidR="0019159A" w:rsidRPr="00D30D00">
        <w:rPr>
          <w:rFonts w:ascii="Times New Roman" w:eastAsia="Times New Roman" w:hAnsi="Times New Roman"/>
          <w:sz w:val="28"/>
          <w:szCs w:val="28"/>
          <w:lang w:eastAsia="ru-RU"/>
        </w:rPr>
        <w:t>яются не позднее чем через сем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ь дней со дня поступления заявления заинтересованного лица о предоставлении соответствующего разрешения.</w:t>
      </w:r>
    </w:p>
    <w:p w:rsidR="00414333" w:rsidRPr="00D30D00" w:rsidRDefault="0019159A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5"/>
      <w:bookmarkEnd w:id="2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публичных слушаний или общественных обсуждений проводятся экспозиция или экспозиции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ов, указанных в частях 1 и 2 настоящей 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месте, дате открытия и сроках проведения, о днях и часах, в которые возможно посещение указанных экспозиции или экспозиций, содержится в </w:t>
      </w:r>
      <w:r w:rsidR="00AA72C5"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повещении.</w:t>
      </w:r>
    </w:p>
    <w:p w:rsidR="00414333" w:rsidRPr="00D30D00" w:rsidRDefault="00AA72C5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66"/>
      <w:bookmarkEnd w:id="3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Лица, имеющие право на участие в публичных слушаниях или общественных обсуждениях и прошедшие в соответствии с </w:t>
      </w:r>
      <w:hyperlink r:id="rId2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частью 12 статьи  </w:t>
        </w:r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5.1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идентификац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>ию, вправе в срок, указанный в 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повещении, представить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рганизатору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предложения по 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роекту. Замечания и предложения представляются: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1) посредством официального сайта (в случае проведения общественных обсуждений);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2) в письменной или устной форме в ходе проведения публичных слушаний;</w:t>
      </w:r>
    </w:p>
    <w:p w:rsidR="003C7B47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3) в 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>письменной форме в адрес о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рганизатора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4333" w:rsidRPr="00D30D00" w:rsidRDefault="003C7B4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4) через платформу обратной связи единого портала</w:t>
      </w:r>
      <w:r w:rsidR="00F8563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проведения публичных слушаний)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6FB" w:rsidRPr="00D30D00" w:rsidRDefault="00FC66FB" w:rsidP="00FC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0D00">
        <w:rPr>
          <w:rFonts w:ascii="Times New Roman" w:eastAsiaTheme="minorHAnsi" w:hAnsi="Times New Roman"/>
          <w:sz w:val="28"/>
          <w:szCs w:val="28"/>
        </w:rPr>
        <w:t>Возможность представления замечаний и 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414333" w:rsidRPr="00D30D00" w:rsidRDefault="00F8563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Предложения и замечания, внесенные в соответствии с </w:t>
      </w:r>
      <w:hyperlink r:id="rId21" w:anchor="Par66" w:tooltip="2.5. Лица, имеющие право на участие в публичных слушаниях или общественных обсуждениях и прошедшие в соответствии с частью 12 статьи 5.1 Градостроительного кодекса Российской Федерации идентификацию, вправе в срок, указанный в Оповещении, представить Орга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, не рассматриваются в случае выявления факта представления участником публичных слушаний или общественных обсуждений недостоверных сведений. Под недостоверной информацией понимается наличие в содержании представленных документов сведений, не соответствующих действительности, а также неточностей, искажений.</w:t>
      </w:r>
    </w:p>
    <w:p w:rsidR="00414333" w:rsidRPr="00D30D00" w:rsidRDefault="00F8563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Публичные слушания проводятся не ранее даты окончания срока проведения экспозиции или экспозиций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роекта.</w:t>
      </w:r>
    </w:p>
    <w:p w:rsidR="00414333" w:rsidRPr="00D30D00" w:rsidRDefault="00F8563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992BEA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(комиссия, в случае ее создания)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осуществить регистрацию участников публичных слушаний.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74"/>
      <w:bookmarkEnd w:id="4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лиц, участвующих в публичных слушаниях лично (очно), сведения, подтверждающие их право на участие в публичных слушаниях, фиксируются на основании следующих документов: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1) для жителей Труновского муниципального округа – документ, удостоверяющий личность;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2) для физических лиц, не являющихся жителями Труновского муниципального округа, при этом являющихся правообладателями 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строительства, расположенных в границах Труновского муниципального округа – документ, удостоверяющий личность, и правоустанавливающие документы на земельный участок или объект капитального строительства, помещения, являющиеся частью объекта капитального строительства, расположенные</w:t>
      </w:r>
      <w:proofErr w:type="gramEnd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Труновского муниципального округа;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представителей юридических лиц – документы,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подтверждающие полномочия представителя юридического лица, наименование и основной государственный регистрационный номер, место нахождения и адрес юридического </w:t>
      </w:r>
      <w:proofErr w:type="gramStart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End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правоустанавливающие документы на земельный участок или объект капитального строительства, помещения, являющегося частью объекта капитального строительства, расположенные на территории Труновского муниципального округа.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участников публичных слушаний осуществляется в соответствии с требованиями, установленными Федеральным </w:t>
      </w:r>
      <w:hyperlink r:id="rId22" w:tooltip="Федеральный закон от 27.07.2006 N 152-ФЗ (ред. от 31.12.2017) &quot;О персональных данных&quot;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г. № 152-ФЗ «О персональных данных» (далее –  Федеральный закон № 152-ФЗ).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Регистрация лиц, участвующих в публичных слушаниях, осуществляется по месту проведения слушаний и начинается за 30 минут до начала слушаний.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Председатель публичных слушаний перед началом слушаний оглашает вопросы, подлежащие обсуждению, порядок и последовательность проведения публичных слушаний, регламент их проведения.</w:t>
      </w:r>
    </w:p>
    <w:p w:rsidR="006F1AC2" w:rsidRPr="00D30D00" w:rsidRDefault="006F1AC2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Общественные обсуждения проводятся путем размещения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на официальном сайте и проведения экспозиций или экспозиции в порядке, установленном </w:t>
      </w:r>
      <w:hyperlink r:id="rId23" w:anchor="Par65" w:tooltip="2.4. При проведении публичных слушаний или общественных обсуждений проводятся экспозиция или экспозиции Проекта. Информация о месте, дате открытия и сроках проведения, о днях и часах, в которые возможно посещение указанных экспозиции или экспозиций, содер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5 настоящего Положения, а также внесения замечаний и предложений к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в соответствии с требованиями, установленными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частью 8 настоящей 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в целях идентификации предоставляют сведения, установленные </w:t>
      </w:r>
      <w:hyperlink r:id="rId24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12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13 статьи 5.1</w:t>
        </w:r>
      </w:hyperlink>
      <w:r w:rsidR="006F1AC2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Обработка персональных данных участников общественных обсуждений осуществляется в соответствии с требованиями, установленными Федеральным </w:t>
      </w:r>
      <w:hyperlink r:id="rId26" w:tooltip="Федеральный закон от 27.07.2006 N 152-ФЗ (ред. от 31.12.2017) &quot;О персональных данных&quot;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152-ФЗ.</w:t>
      </w:r>
    </w:p>
    <w:p w:rsidR="00414333" w:rsidRPr="00D30D00" w:rsidRDefault="00FF19B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проведения публичных слушаний или общественных обсуждений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 w:rsidR="00992BEA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 протокол публичных слушаний или общественных обсуждений, в соответствии с </w:t>
      </w:r>
      <w:hyperlink r:id="rId27" w:anchor="Par155" w:tooltip="                        Протокол публичных слуша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приложениями №</w:t>
        </w:r>
        <w:r w:rsidR="00D802A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D80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8" w:anchor="Par298" w:tooltip="                     Протокол общественных обсужде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53057E" w:rsidRPr="00D30D00" w:rsidRDefault="00FF19B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протокола публичных слушаний или общественных обсуждений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 w:rsidR="00992BEA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заключения о результатах публичных слушаний или общественных обсуждений по форме согласно </w:t>
      </w:r>
      <w:hyperlink r:id="rId29" w:anchor="Par211" w:tooltip="                Заключение о результатах публичных слуша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 № 3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hyperlink r:id="rId30" w:anchor="Par355" w:tooltip="             Заключение о результатах общественных обсужде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 или общественных обсуждений подлежит опубликованию</w:t>
      </w:r>
      <w:r w:rsidR="0053057E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(обнародованию)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3057E" w:rsidRPr="00D30D00">
        <w:rPr>
          <w:rFonts w:ascii="Times New Roman" w:eastAsia="Times New Roman" w:hAnsi="Times New Roman"/>
          <w:sz w:val="28"/>
          <w:szCs w:val="28"/>
          <w:lang w:eastAsia="ru-RU"/>
        </w:rPr>
        <w:t>источниках</w:t>
      </w:r>
      <w:r w:rsidR="009F3A20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 w:rsidR="002E7BAC" w:rsidRPr="00D30D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57E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6 настоящей статьи. </w:t>
      </w:r>
    </w:p>
    <w:p w:rsidR="00414333" w:rsidRPr="00D30D00" w:rsidRDefault="00A82D3B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проведения публичных слушаний или общественных обсуждений устанавливается </w:t>
      </w:r>
      <w:r w:rsidR="00DB316D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актом, указанным в части 4 настоящей статьи,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и не должен быть: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1) по проектам планировки территории, проектам межевания территории, проектам генеральных планов – менее одного месяца и более трех месяцев со дня оповещения жителей муниципального округа об их проведении</w:t>
      </w:r>
      <w:r w:rsidR="0015780F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опубликования результатов их проведения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по проектам правил землепользования и застройки – менее двух и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более четырех месяцев со дня опубликования такого </w:t>
      </w:r>
      <w:r w:rsidR="0015780F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3)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– более чем один месяц со дня опубликования такого проекта;</w:t>
      </w:r>
      <w:proofErr w:type="gramEnd"/>
    </w:p>
    <w:p w:rsidR="0062345D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4)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– более одного месяца со дня оповещения жителей муниципального округа об их проведении</w:t>
      </w:r>
      <w:r w:rsidR="0062345D" w:rsidRPr="00D30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4333" w:rsidRPr="00D30D00" w:rsidRDefault="0062345D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5) по проекту правил благоустройства и внесения изменений в правила благоустройства – менее одного месяца и более трех месяцев со дня опубликования оповещения о начале публичных слушаний до дня опубликования заключения о результатах </w:t>
      </w:r>
      <w:r w:rsidR="00F8199E" w:rsidRPr="00D30D00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99E" w:rsidRPr="00D30D00" w:rsidRDefault="00F8199E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16. Сроки проведения публичных слушаний или общественных обсуждений, установленные частью 15 настоящей статьи могут быть изменены при принятии 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акта, указанного в части 4 настоящей статьи,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изменений в законодательство о градостроительной деятельности.</w:t>
      </w:r>
    </w:p>
    <w:p w:rsidR="00414333" w:rsidRPr="00D30D00" w:rsidRDefault="00F8199E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00"/>
      <w:bookmarkEnd w:id="5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Экспозиции или экспозиция 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ов, указанных в частях 1 и 2 настоящей статьи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консультирование по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данным 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ам проводя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разработчиком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или иным лицом, указанным в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равовом акте.</w:t>
      </w:r>
    </w:p>
    <w:p w:rsidR="00414333" w:rsidRPr="00D30D00" w:rsidRDefault="00282CE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Дата начала работы экспозиции определяется указанным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в части 4 настоящей статьи 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равовым актом, но не позднее 7 рабочих дней со дня опубликования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повещения.</w:t>
      </w:r>
    </w:p>
    <w:p w:rsidR="00414333" w:rsidRPr="00D30D00" w:rsidRDefault="00282CE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 На экспозиции должны быть представлены: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информационные материалы к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(пояснительная записка, актуализированная редакция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роекта, в случаях, если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 предусматривает внесение изменений в ранее принятые муниципальные правовые акты, карты, схемы, текстовое описание).</w:t>
      </w:r>
    </w:p>
    <w:p w:rsidR="00414333" w:rsidRPr="00D30D00" w:rsidRDefault="00282CE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консультаций лицо, ответственное за них, в соответствии с </w:t>
      </w:r>
      <w:hyperlink r:id="rId31" w:anchor="Par100" w:tooltip="4.1. Экспозиции или экспозиция Проекта и консультирование по Проекту проводится разработчиком Проекта или иным лицом, указанным в Решении.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пояснения по </w:t>
      </w:r>
      <w:r w:rsidR="0066338F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роекту, отвечает на вопросы посетителей экспозиции, в том числе по порядку внесения замечаний и предложений, возможности участия в публичных слушаниях и порядку принятия решения по итогам проведения публичных слушаний или общественных обсуждений</w:t>
      </w:r>
      <w:proofErr w:type="gramStart"/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38F" w:rsidRPr="00D30D0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93844" w:rsidRPr="00D30D00" w:rsidRDefault="00693844" w:rsidP="0069384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384C" w:rsidRPr="00D30D00" w:rsidRDefault="00D10717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2</w:t>
      </w:r>
      <w:r w:rsidR="000F1F0D" w:rsidRPr="00D30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384C" w:rsidRPr="00D30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384C" w:rsidRPr="00D30D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         на председателя постоянной комиссии Думы Труновского муниципального округа Ставропольского края по местному самоуправлению, правовым и </w:t>
      </w:r>
      <w:r w:rsidR="008C384C" w:rsidRPr="00D30D0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 вопросам Н.А. </w:t>
      </w:r>
      <w:proofErr w:type="spellStart"/>
      <w:r w:rsidR="008C384C" w:rsidRPr="00D30D00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="008C384C" w:rsidRPr="00D30D00">
        <w:rPr>
          <w:rFonts w:ascii="Times New Roman" w:hAnsi="Times New Roman" w:cs="Times New Roman"/>
          <w:sz w:val="28"/>
          <w:szCs w:val="28"/>
        </w:rPr>
        <w:t>.</w:t>
      </w:r>
    </w:p>
    <w:p w:rsidR="009F3A20" w:rsidRPr="00D30D00" w:rsidRDefault="009F3A20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0D" w:rsidRPr="00D30D00" w:rsidRDefault="008C384C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3. </w:t>
      </w:r>
      <w:r w:rsidR="000F1F0D" w:rsidRPr="00D30D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D802AA">
        <w:rPr>
          <w:rFonts w:ascii="Times New Roman" w:hAnsi="Times New Roman" w:cs="Times New Roman"/>
          <w:sz w:val="28"/>
          <w:szCs w:val="28"/>
        </w:rPr>
        <w:t xml:space="preserve"> в муниципальной газете «Труновский вестник»</w:t>
      </w:r>
      <w:r w:rsidR="000F1F0D" w:rsidRPr="00D30D00">
        <w:rPr>
          <w:rFonts w:ascii="Times New Roman" w:hAnsi="Times New Roman" w:cs="Times New Roman"/>
          <w:sz w:val="28"/>
          <w:szCs w:val="28"/>
        </w:rPr>
        <w:t>.</w:t>
      </w:r>
    </w:p>
    <w:p w:rsidR="000F1F0D" w:rsidRPr="00D30D00" w:rsidRDefault="000F1F0D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A8F" w:rsidRPr="00D30D00" w:rsidRDefault="005A0A8F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0D" w:rsidRPr="00D30D00" w:rsidRDefault="000F1F0D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F" w:rsidRPr="00D30D00" w:rsidRDefault="003F758F" w:rsidP="00693844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0717" w:rsidRPr="00D30D00">
        <w:rPr>
          <w:rFonts w:ascii="Times New Roman" w:hAnsi="Times New Roman" w:cs="Times New Roman"/>
          <w:sz w:val="28"/>
          <w:szCs w:val="28"/>
        </w:rPr>
        <w:t>Думы</w:t>
      </w:r>
    </w:p>
    <w:p w:rsidR="00BF1A38" w:rsidRPr="00D30D00" w:rsidRDefault="009855BE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Труновского</w:t>
      </w:r>
      <w:r w:rsidR="00BF1A38" w:rsidRPr="00D30D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717" w:rsidRPr="00D30D00">
        <w:rPr>
          <w:rFonts w:ascii="Times New Roman" w:hAnsi="Times New Roman" w:cs="Times New Roman"/>
          <w:sz w:val="28"/>
          <w:szCs w:val="28"/>
        </w:rPr>
        <w:t>округа</w:t>
      </w:r>
    </w:p>
    <w:p w:rsidR="00BF1A38" w:rsidRPr="00D30D00" w:rsidRDefault="00BF1A38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142AE" w:rsidRPr="00D30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249F0" w:rsidRPr="00D30D00">
        <w:rPr>
          <w:rFonts w:ascii="Times New Roman" w:hAnsi="Times New Roman" w:cs="Times New Roman"/>
          <w:sz w:val="28"/>
          <w:szCs w:val="28"/>
        </w:rPr>
        <w:t xml:space="preserve">    </w:t>
      </w:r>
      <w:r w:rsidR="00E86F86" w:rsidRPr="00D30D00">
        <w:rPr>
          <w:rFonts w:ascii="Times New Roman" w:hAnsi="Times New Roman" w:cs="Times New Roman"/>
          <w:sz w:val="28"/>
          <w:szCs w:val="28"/>
        </w:rPr>
        <w:t>Х.Р. Гонов</w:t>
      </w:r>
    </w:p>
    <w:p w:rsidR="0005318B" w:rsidRPr="00D30D00" w:rsidRDefault="0005318B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49F0" w:rsidRPr="00D30D00" w:rsidRDefault="002249F0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249F0" w:rsidRPr="00D30D00" w:rsidSect="00B44E9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00"/>
    <w:multiLevelType w:val="hybridMultilevel"/>
    <w:tmpl w:val="D4E4C7B8"/>
    <w:lvl w:ilvl="0" w:tplc="7FDA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3331F"/>
    <w:multiLevelType w:val="hybridMultilevel"/>
    <w:tmpl w:val="68E6CB34"/>
    <w:lvl w:ilvl="0" w:tplc="2F927354">
      <w:start w:val="1"/>
      <w:numFmt w:val="decimal"/>
      <w:lvlText w:val="%1."/>
      <w:lvlJc w:val="left"/>
      <w:pPr>
        <w:ind w:left="237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A0"/>
    <w:rsid w:val="00002A18"/>
    <w:rsid w:val="00003F1D"/>
    <w:rsid w:val="00004D72"/>
    <w:rsid w:val="00013DF0"/>
    <w:rsid w:val="00016553"/>
    <w:rsid w:val="00022CA7"/>
    <w:rsid w:val="00032691"/>
    <w:rsid w:val="00032D30"/>
    <w:rsid w:val="000337EE"/>
    <w:rsid w:val="00052629"/>
    <w:rsid w:val="0005318B"/>
    <w:rsid w:val="00054773"/>
    <w:rsid w:val="00067CDC"/>
    <w:rsid w:val="00067CF5"/>
    <w:rsid w:val="00070363"/>
    <w:rsid w:val="00074BE6"/>
    <w:rsid w:val="00081381"/>
    <w:rsid w:val="00084947"/>
    <w:rsid w:val="00085535"/>
    <w:rsid w:val="00091778"/>
    <w:rsid w:val="00093046"/>
    <w:rsid w:val="0009660C"/>
    <w:rsid w:val="000A2163"/>
    <w:rsid w:val="000B39D7"/>
    <w:rsid w:val="000C797A"/>
    <w:rsid w:val="000D75BC"/>
    <w:rsid w:val="000E3055"/>
    <w:rsid w:val="000E34C7"/>
    <w:rsid w:val="000F08C4"/>
    <w:rsid w:val="000F1769"/>
    <w:rsid w:val="000F1F0D"/>
    <w:rsid w:val="000F4106"/>
    <w:rsid w:val="000F644A"/>
    <w:rsid w:val="00102F38"/>
    <w:rsid w:val="001268A2"/>
    <w:rsid w:val="00131C9E"/>
    <w:rsid w:val="00142F9C"/>
    <w:rsid w:val="00144252"/>
    <w:rsid w:val="0015780F"/>
    <w:rsid w:val="0017234B"/>
    <w:rsid w:val="0019159A"/>
    <w:rsid w:val="00193208"/>
    <w:rsid w:val="00194CA4"/>
    <w:rsid w:val="001B0C91"/>
    <w:rsid w:val="001B271C"/>
    <w:rsid w:val="001D16D3"/>
    <w:rsid w:val="001D230F"/>
    <w:rsid w:val="001D7289"/>
    <w:rsid w:val="001D72DD"/>
    <w:rsid w:val="001E090F"/>
    <w:rsid w:val="001E0E9A"/>
    <w:rsid w:val="001E1537"/>
    <w:rsid w:val="001E7798"/>
    <w:rsid w:val="001F152A"/>
    <w:rsid w:val="001F344E"/>
    <w:rsid w:val="001F6D18"/>
    <w:rsid w:val="001F7F2F"/>
    <w:rsid w:val="00213F39"/>
    <w:rsid w:val="00214494"/>
    <w:rsid w:val="00221640"/>
    <w:rsid w:val="00223497"/>
    <w:rsid w:val="002249F0"/>
    <w:rsid w:val="00226745"/>
    <w:rsid w:val="00231C7B"/>
    <w:rsid w:val="0023309C"/>
    <w:rsid w:val="002341D8"/>
    <w:rsid w:val="002378C1"/>
    <w:rsid w:val="002474D8"/>
    <w:rsid w:val="00252840"/>
    <w:rsid w:val="00253721"/>
    <w:rsid w:val="00260AD1"/>
    <w:rsid w:val="00264D29"/>
    <w:rsid w:val="00270FB5"/>
    <w:rsid w:val="00282CE8"/>
    <w:rsid w:val="002B147C"/>
    <w:rsid w:val="002B3430"/>
    <w:rsid w:val="002B3CC0"/>
    <w:rsid w:val="002D40F2"/>
    <w:rsid w:val="002D680C"/>
    <w:rsid w:val="002E0BE3"/>
    <w:rsid w:val="002E5111"/>
    <w:rsid w:val="002E5DDC"/>
    <w:rsid w:val="002E7BAC"/>
    <w:rsid w:val="002F3159"/>
    <w:rsid w:val="002F7EC9"/>
    <w:rsid w:val="00301306"/>
    <w:rsid w:val="003015FB"/>
    <w:rsid w:val="003105BC"/>
    <w:rsid w:val="00312BF9"/>
    <w:rsid w:val="00326DA7"/>
    <w:rsid w:val="00327DCC"/>
    <w:rsid w:val="00337EFD"/>
    <w:rsid w:val="00343CBD"/>
    <w:rsid w:val="0035214D"/>
    <w:rsid w:val="003567FE"/>
    <w:rsid w:val="00361F0C"/>
    <w:rsid w:val="00362EAD"/>
    <w:rsid w:val="0036692A"/>
    <w:rsid w:val="0037106F"/>
    <w:rsid w:val="0038290F"/>
    <w:rsid w:val="00383545"/>
    <w:rsid w:val="00386C25"/>
    <w:rsid w:val="0039152A"/>
    <w:rsid w:val="00392BE4"/>
    <w:rsid w:val="003A3A42"/>
    <w:rsid w:val="003A3BFB"/>
    <w:rsid w:val="003B15B8"/>
    <w:rsid w:val="003B39ED"/>
    <w:rsid w:val="003C3FF5"/>
    <w:rsid w:val="003C53BA"/>
    <w:rsid w:val="003C7B47"/>
    <w:rsid w:val="003D4DE6"/>
    <w:rsid w:val="003E4A83"/>
    <w:rsid w:val="003F4CE2"/>
    <w:rsid w:val="003F6B7E"/>
    <w:rsid w:val="003F758F"/>
    <w:rsid w:val="00400558"/>
    <w:rsid w:val="00402DA3"/>
    <w:rsid w:val="00414333"/>
    <w:rsid w:val="00414EF9"/>
    <w:rsid w:val="00415DF3"/>
    <w:rsid w:val="004257EF"/>
    <w:rsid w:val="0042627B"/>
    <w:rsid w:val="00426851"/>
    <w:rsid w:val="00427650"/>
    <w:rsid w:val="0043465A"/>
    <w:rsid w:val="00446E95"/>
    <w:rsid w:val="00450820"/>
    <w:rsid w:val="00457E73"/>
    <w:rsid w:val="00460219"/>
    <w:rsid w:val="00467E20"/>
    <w:rsid w:val="0047309B"/>
    <w:rsid w:val="0048037E"/>
    <w:rsid w:val="00483A3F"/>
    <w:rsid w:val="00487833"/>
    <w:rsid w:val="00491FFA"/>
    <w:rsid w:val="004A294E"/>
    <w:rsid w:val="004C06F9"/>
    <w:rsid w:val="004C4413"/>
    <w:rsid w:val="004D52AC"/>
    <w:rsid w:val="004E5036"/>
    <w:rsid w:val="004F3AAA"/>
    <w:rsid w:val="004F4928"/>
    <w:rsid w:val="00502E20"/>
    <w:rsid w:val="00506953"/>
    <w:rsid w:val="00512445"/>
    <w:rsid w:val="005142AE"/>
    <w:rsid w:val="005217F1"/>
    <w:rsid w:val="00523AF4"/>
    <w:rsid w:val="00524896"/>
    <w:rsid w:val="005257F5"/>
    <w:rsid w:val="0053057E"/>
    <w:rsid w:val="0054276F"/>
    <w:rsid w:val="00545D9D"/>
    <w:rsid w:val="00555174"/>
    <w:rsid w:val="005679F3"/>
    <w:rsid w:val="005748BC"/>
    <w:rsid w:val="00574BEB"/>
    <w:rsid w:val="00581731"/>
    <w:rsid w:val="0059428A"/>
    <w:rsid w:val="0059448C"/>
    <w:rsid w:val="005A013F"/>
    <w:rsid w:val="005A0A8F"/>
    <w:rsid w:val="005A63F9"/>
    <w:rsid w:val="005B060C"/>
    <w:rsid w:val="005B4E94"/>
    <w:rsid w:val="005B5102"/>
    <w:rsid w:val="005B667F"/>
    <w:rsid w:val="005C0548"/>
    <w:rsid w:val="005C11A2"/>
    <w:rsid w:val="005C63B3"/>
    <w:rsid w:val="005E7B89"/>
    <w:rsid w:val="00601E6D"/>
    <w:rsid w:val="0060214D"/>
    <w:rsid w:val="006034DA"/>
    <w:rsid w:val="006043CA"/>
    <w:rsid w:val="00611437"/>
    <w:rsid w:val="006165D6"/>
    <w:rsid w:val="00616697"/>
    <w:rsid w:val="0062345D"/>
    <w:rsid w:val="00626AB6"/>
    <w:rsid w:val="0063141F"/>
    <w:rsid w:val="00635162"/>
    <w:rsid w:val="006418D9"/>
    <w:rsid w:val="00651940"/>
    <w:rsid w:val="006559D9"/>
    <w:rsid w:val="00655F22"/>
    <w:rsid w:val="0066338F"/>
    <w:rsid w:val="006659CC"/>
    <w:rsid w:val="00665C48"/>
    <w:rsid w:val="00666555"/>
    <w:rsid w:val="006733E4"/>
    <w:rsid w:val="0067540B"/>
    <w:rsid w:val="00677CD4"/>
    <w:rsid w:val="00684D32"/>
    <w:rsid w:val="00685C3E"/>
    <w:rsid w:val="006917A3"/>
    <w:rsid w:val="00693844"/>
    <w:rsid w:val="00693D8D"/>
    <w:rsid w:val="006A0835"/>
    <w:rsid w:val="006A32F2"/>
    <w:rsid w:val="006A6565"/>
    <w:rsid w:val="006A76FF"/>
    <w:rsid w:val="006B28B3"/>
    <w:rsid w:val="006B7E2F"/>
    <w:rsid w:val="006C1067"/>
    <w:rsid w:val="006C51ED"/>
    <w:rsid w:val="006C5AD2"/>
    <w:rsid w:val="006C6D35"/>
    <w:rsid w:val="006D3A9D"/>
    <w:rsid w:val="006D3DD2"/>
    <w:rsid w:val="006E49CD"/>
    <w:rsid w:val="006F1AC2"/>
    <w:rsid w:val="00701BD3"/>
    <w:rsid w:val="007047E1"/>
    <w:rsid w:val="00704DE0"/>
    <w:rsid w:val="00717FB1"/>
    <w:rsid w:val="00721926"/>
    <w:rsid w:val="007271A4"/>
    <w:rsid w:val="00727ECA"/>
    <w:rsid w:val="007336CE"/>
    <w:rsid w:val="00735D2B"/>
    <w:rsid w:val="00743AF1"/>
    <w:rsid w:val="007450B1"/>
    <w:rsid w:val="00755F22"/>
    <w:rsid w:val="0075732A"/>
    <w:rsid w:val="00770717"/>
    <w:rsid w:val="00775A1E"/>
    <w:rsid w:val="00775C50"/>
    <w:rsid w:val="00786879"/>
    <w:rsid w:val="007B2732"/>
    <w:rsid w:val="007B7CED"/>
    <w:rsid w:val="007D7199"/>
    <w:rsid w:val="007E320D"/>
    <w:rsid w:val="007E49A9"/>
    <w:rsid w:val="0081105B"/>
    <w:rsid w:val="00812506"/>
    <w:rsid w:val="00832672"/>
    <w:rsid w:val="008329B4"/>
    <w:rsid w:val="0083408C"/>
    <w:rsid w:val="00844C82"/>
    <w:rsid w:val="00860BBD"/>
    <w:rsid w:val="00862842"/>
    <w:rsid w:val="0087267C"/>
    <w:rsid w:val="008736C4"/>
    <w:rsid w:val="008916C6"/>
    <w:rsid w:val="00892871"/>
    <w:rsid w:val="008B1663"/>
    <w:rsid w:val="008B7389"/>
    <w:rsid w:val="008C384C"/>
    <w:rsid w:val="008C4078"/>
    <w:rsid w:val="008E5915"/>
    <w:rsid w:val="008F3319"/>
    <w:rsid w:val="00910527"/>
    <w:rsid w:val="0091584C"/>
    <w:rsid w:val="00917D9E"/>
    <w:rsid w:val="00920D2D"/>
    <w:rsid w:val="00920D5E"/>
    <w:rsid w:val="0094286F"/>
    <w:rsid w:val="00951C04"/>
    <w:rsid w:val="009561C4"/>
    <w:rsid w:val="00975912"/>
    <w:rsid w:val="009855BE"/>
    <w:rsid w:val="009901DA"/>
    <w:rsid w:val="00992BEA"/>
    <w:rsid w:val="0099439B"/>
    <w:rsid w:val="00997646"/>
    <w:rsid w:val="009A2309"/>
    <w:rsid w:val="009B264C"/>
    <w:rsid w:val="009B4743"/>
    <w:rsid w:val="009C3E80"/>
    <w:rsid w:val="009C75B3"/>
    <w:rsid w:val="009E2EFA"/>
    <w:rsid w:val="009E335B"/>
    <w:rsid w:val="009E559A"/>
    <w:rsid w:val="009F3A20"/>
    <w:rsid w:val="009F4393"/>
    <w:rsid w:val="009F54C8"/>
    <w:rsid w:val="009F79FB"/>
    <w:rsid w:val="00A00AC7"/>
    <w:rsid w:val="00A00ED5"/>
    <w:rsid w:val="00A01B63"/>
    <w:rsid w:val="00A14E94"/>
    <w:rsid w:val="00A156F8"/>
    <w:rsid w:val="00A16006"/>
    <w:rsid w:val="00A1765B"/>
    <w:rsid w:val="00A27892"/>
    <w:rsid w:val="00A27A2F"/>
    <w:rsid w:val="00A36C14"/>
    <w:rsid w:val="00A50B23"/>
    <w:rsid w:val="00A523DB"/>
    <w:rsid w:val="00A61CD1"/>
    <w:rsid w:val="00A7554E"/>
    <w:rsid w:val="00A82D3B"/>
    <w:rsid w:val="00A91BE8"/>
    <w:rsid w:val="00AA2DD6"/>
    <w:rsid w:val="00AA5A89"/>
    <w:rsid w:val="00AA72C5"/>
    <w:rsid w:val="00AA7839"/>
    <w:rsid w:val="00AA7A88"/>
    <w:rsid w:val="00AD21EC"/>
    <w:rsid w:val="00AD6130"/>
    <w:rsid w:val="00AF3919"/>
    <w:rsid w:val="00AF776A"/>
    <w:rsid w:val="00B071C3"/>
    <w:rsid w:val="00B22A33"/>
    <w:rsid w:val="00B231C8"/>
    <w:rsid w:val="00B26FB8"/>
    <w:rsid w:val="00B40262"/>
    <w:rsid w:val="00B41BFA"/>
    <w:rsid w:val="00B44607"/>
    <w:rsid w:val="00B44E9E"/>
    <w:rsid w:val="00B45F44"/>
    <w:rsid w:val="00B61BC2"/>
    <w:rsid w:val="00B64D78"/>
    <w:rsid w:val="00B65730"/>
    <w:rsid w:val="00B71BC7"/>
    <w:rsid w:val="00B8014A"/>
    <w:rsid w:val="00BA4840"/>
    <w:rsid w:val="00BB4B32"/>
    <w:rsid w:val="00BB4B41"/>
    <w:rsid w:val="00BB64B0"/>
    <w:rsid w:val="00BD2D8F"/>
    <w:rsid w:val="00BE3E4E"/>
    <w:rsid w:val="00BE568E"/>
    <w:rsid w:val="00BE5E87"/>
    <w:rsid w:val="00BE6999"/>
    <w:rsid w:val="00BF0F86"/>
    <w:rsid w:val="00BF1A38"/>
    <w:rsid w:val="00BF4A42"/>
    <w:rsid w:val="00C059ED"/>
    <w:rsid w:val="00C51041"/>
    <w:rsid w:val="00C664F5"/>
    <w:rsid w:val="00C674BB"/>
    <w:rsid w:val="00C75D01"/>
    <w:rsid w:val="00C7791B"/>
    <w:rsid w:val="00C834DB"/>
    <w:rsid w:val="00C92533"/>
    <w:rsid w:val="00CA321C"/>
    <w:rsid w:val="00CB03A1"/>
    <w:rsid w:val="00CB79D7"/>
    <w:rsid w:val="00CC2B70"/>
    <w:rsid w:val="00CD38E6"/>
    <w:rsid w:val="00CD6F4B"/>
    <w:rsid w:val="00D10717"/>
    <w:rsid w:val="00D22FA2"/>
    <w:rsid w:val="00D23FDB"/>
    <w:rsid w:val="00D25A9A"/>
    <w:rsid w:val="00D263A3"/>
    <w:rsid w:val="00D30D00"/>
    <w:rsid w:val="00D40B5C"/>
    <w:rsid w:val="00D472AB"/>
    <w:rsid w:val="00D510B7"/>
    <w:rsid w:val="00D51971"/>
    <w:rsid w:val="00D51F33"/>
    <w:rsid w:val="00D605E4"/>
    <w:rsid w:val="00D60CDF"/>
    <w:rsid w:val="00D6130A"/>
    <w:rsid w:val="00D73D79"/>
    <w:rsid w:val="00D802AA"/>
    <w:rsid w:val="00D90E08"/>
    <w:rsid w:val="00DA3CF7"/>
    <w:rsid w:val="00DA45AE"/>
    <w:rsid w:val="00DA6C46"/>
    <w:rsid w:val="00DB316D"/>
    <w:rsid w:val="00DC6EB3"/>
    <w:rsid w:val="00DD59A0"/>
    <w:rsid w:val="00DE25EA"/>
    <w:rsid w:val="00DF02FE"/>
    <w:rsid w:val="00DF3552"/>
    <w:rsid w:val="00E00310"/>
    <w:rsid w:val="00E014AC"/>
    <w:rsid w:val="00E16463"/>
    <w:rsid w:val="00E2060B"/>
    <w:rsid w:val="00E21372"/>
    <w:rsid w:val="00E25039"/>
    <w:rsid w:val="00E33003"/>
    <w:rsid w:val="00E33939"/>
    <w:rsid w:val="00E351F8"/>
    <w:rsid w:val="00E62599"/>
    <w:rsid w:val="00E75137"/>
    <w:rsid w:val="00E84B96"/>
    <w:rsid w:val="00E86F86"/>
    <w:rsid w:val="00EA42AA"/>
    <w:rsid w:val="00EA5D25"/>
    <w:rsid w:val="00EA65E5"/>
    <w:rsid w:val="00EA77A7"/>
    <w:rsid w:val="00EB3374"/>
    <w:rsid w:val="00EC10ED"/>
    <w:rsid w:val="00ED1ED4"/>
    <w:rsid w:val="00EE2E6E"/>
    <w:rsid w:val="00EF2AA2"/>
    <w:rsid w:val="00F03EAD"/>
    <w:rsid w:val="00F173A2"/>
    <w:rsid w:val="00F240E4"/>
    <w:rsid w:val="00F318AD"/>
    <w:rsid w:val="00F42B83"/>
    <w:rsid w:val="00F46FD9"/>
    <w:rsid w:val="00F547BD"/>
    <w:rsid w:val="00F54D2D"/>
    <w:rsid w:val="00F57FE8"/>
    <w:rsid w:val="00F63510"/>
    <w:rsid w:val="00F7007D"/>
    <w:rsid w:val="00F71D21"/>
    <w:rsid w:val="00F747AF"/>
    <w:rsid w:val="00F8199E"/>
    <w:rsid w:val="00F85637"/>
    <w:rsid w:val="00F97BFA"/>
    <w:rsid w:val="00FA0AB9"/>
    <w:rsid w:val="00FA576B"/>
    <w:rsid w:val="00FC1CBC"/>
    <w:rsid w:val="00FC66FB"/>
    <w:rsid w:val="00FD29F7"/>
    <w:rsid w:val="00FF1280"/>
    <w:rsid w:val="00FF199A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E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3844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3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4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E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3844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3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4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A380D456B68CC74F74D792B0F0E5CE665ECD9EDC20848EC5E0AB68455E1D209D3689EF0AEjBH" TargetMode="External"/><Relationship Id="rId13" Type="http://schemas.openxmlformats.org/officeDocument/2006/relationships/hyperlink" Target="consultantplus://offline/ref=742B27C852A96A3C590D88F0CC22A24EF84182497506691B4583A61537C876A3BC2FA942F820o9fAH" TargetMode="External"/><Relationship Id="rId18" Type="http://schemas.openxmlformats.org/officeDocument/2006/relationships/hyperlink" Target="file:///C:\Users\TYCHIN~1\AppData\Local\Temp\1382d302c94d690d937ab66207f4cd04.rtf" TargetMode="External"/><Relationship Id="rId26" Type="http://schemas.openxmlformats.org/officeDocument/2006/relationships/hyperlink" Target="consultantplus://offline/ref=742B27C852A96A3C590D88F0CC22A24EF84183427409691B4583A61537oCf8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TYCHIN~1\AppData\Local\Temp\1382d302c94d690d937ab66207f4cd04.rt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2B27C852A96A3C590D88F0CC22A24EF84182497506691B4583A61537C876A3BC2FA942F820o9f8H" TargetMode="External"/><Relationship Id="rId17" Type="http://schemas.openxmlformats.org/officeDocument/2006/relationships/hyperlink" Target="consultantplus://offline/ref=742B27C852A96A3C590D88F0CC22A24EF84182497506691B4583A61537C876A3BC2FA942FB22o9f8H" TargetMode="External"/><Relationship Id="rId25" Type="http://schemas.openxmlformats.org/officeDocument/2006/relationships/hyperlink" Target="consultantplus://offline/ref=742B27C852A96A3C590D88F0CC22A24EF84182497506691B4583A61537C876A3BC2FA942FB23o9f6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88F0CC22A24EF84182497506691B4583A61537C876A3BC2FA942FB22o9fFH" TargetMode="External"/><Relationship Id="rId20" Type="http://schemas.openxmlformats.org/officeDocument/2006/relationships/hyperlink" Target="consultantplus://offline/ref=742B27C852A96A3C590D88F0CC22A24EF84182497506691B4583A61537C876A3BC2FA942FB23o9f9H" TargetMode="External"/><Relationship Id="rId29" Type="http://schemas.openxmlformats.org/officeDocument/2006/relationships/hyperlink" Target="file:///C:\Users\TYCHIN~1\AppData\Local\Temp\1382d302c94d690d937ab66207f4cd04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2B27C852A96A3C590D88F0CC22A24EF84182497506691B4583A61537C876A3BC2FA942FB28o9fDH" TargetMode="External"/><Relationship Id="rId24" Type="http://schemas.openxmlformats.org/officeDocument/2006/relationships/hyperlink" Target="consultantplus://offline/ref=742B27C852A96A3C590D88F0CC22A24EF84182497506691B4583A61537C876A3BC2FA942FB23o9f9H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2B27C852A96A3C590D88F0CC22A24EF84182497506691B4583A61537C876A3BC2FA942F820o9fFH" TargetMode="External"/><Relationship Id="rId23" Type="http://schemas.openxmlformats.org/officeDocument/2006/relationships/hyperlink" Target="file:///C:\Users\TYCHIN~1\AppData\Local\Temp\1382d302c94d690d937ab66207f4cd04.rtf" TargetMode="External"/><Relationship Id="rId28" Type="http://schemas.openxmlformats.org/officeDocument/2006/relationships/hyperlink" Target="file:///C:\Users\TYCHIN~1\AppData\Local\Temp\1382d302c94d690d937ab66207f4cd04.rtf" TargetMode="External"/><Relationship Id="rId10" Type="http://schemas.openxmlformats.org/officeDocument/2006/relationships/hyperlink" Target="consultantplus://offline/ref=742B27C852A96A3C590D88F0CC22A24EF84182497506691B4583A61537C876A3BC2FA942FB27o9fAH" TargetMode="External"/><Relationship Id="rId19" Type="http://schemas.openxmlformats.org/officeDocument/2006/relationships/hyperlink" Target="file:///C:\Users\TYCHIN~1\AppData\Local\Temp\1382d302c94d690d937ab66207f4cd04.rtf" TargetMode="External"/><Relationship Id="rId31" Type="http://schemas.openxmlformats.org/officeDocument/2006/relationships/hyperlink" Target="file:///C:\Users\TYCHIN~1\AppData\Local\Temp\1382d302c94d690d937ab66207f4cd0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A380D456B68CC74F753743D635056E067B6D4EFCB031DB7080CE1DB05E78749936EC9B1AC76EA4B050FC9A9j2H" TargetMode="External"/><Relationship Id="rId14" Type="http://schemas.openxmlformats.org/officeDocument/2006/relationships/hyperlink" Target="consultantplus://offline/ref=742B27C852A96A3C590D88F0CC22A24EF84182497506691B4583A61537C876A3BC2FA942F820o9f8H" TargetMode="External"/><Relationship Id="rId22" Type="http://schemas.openxmlformats.org/officeDocument/2006/relationships/hyperlink" Target="consultantplus://offline/ref=742B27C852A96A3C590D88F0CC22A24EF84183427409691B4583A61537oCf8H" TargetMode="External"/><Relationship Id="rId27" Type="http://schemas.openxmlformats.org/officeDocument/2006/relationships/hyperlink" Target="file:///C:\Users\TYCHIN~1\AppData\Local\Temp\1382d302c94d690d937ab66207f4cd04.rtf" TargetMode="External"/><Relationship Id="rId30" Type="http://schemas.openxmlformats.org/officeDocument/2006/relationships/hyperlink" Target="file:///C:\Users\TYCHIN~1\AppData\Local\Temp\1382d302c94d690d937ab66207f4cd0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9B52-94E3-4591-9B30-15C72974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User</cp:lastModifiedBy>
  <cp:revision>7</cp:revision>
  <cp:lastPrinted>2022-10-06T11:17:00Z</cp:lastPrinted>
  <dcterms:created xsi:type="dcterms:W3CDTF">2022-10-03T04:57:00Z</dcterms:created>
  <dcterms:modified xsi:type="dcterms:W3CDTF">2022-10-06T11:17:00Z</dcterms:modified>
</cp:coreProperties>
</file>