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66" w:rsidRPr="00B80D66" w:rsidRDefault="00B80D66" w:rsidP="00B80D66">
      <w:pPr>
        <w:pageBreakBefore/>
        <w:suppressAutoHyphens/>
        <w:autoSpaceDN w:val="0"/>
        <w:jc w:val="center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Отчет о работе педиатрической службы Труновского района</w:t>
      </w:r>
    </w:p>
    <w:p w:rsidR="00B80D66" w:rsidRPr="00B80D66" w:rsidRDefault="00624B87" w:rsidP="00B80D66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 xml:space="preserve"> за   2019 -2021 </w:t>
      </w:r>
      <w:r w:rsidR="00B80D66"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г.г.</w:t>
      </w:r>
    </w:p>
    <w:p w:rsidR="00B80D66" w:rsidRPr="00B80D66" w:rsidRDefault="00B80D66" w:rsidP="00B80D66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  Лечебно-профилактическая работа среди детей и подростков Труновского района осуществляется на  9 педиатрических участках (4 в с. Донском,  2 – в с. Труновском, 2 – в с. Безопасном, 1- в пос. Кирова), 1 участок врача общей (семейной) практики в </w:t>
      </w:r>
      <w:proofErr w:type="gramStart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с</w:t>
      </w:r>
      <w:proofErr w:type="gramEnd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.</w:t>
      </w:r>
      <w:r w:rsidR="00624B87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Подлесном, Новой Кугульте.  Лечебная помощь оказывается в 6 отделениях: педиатрическом, инфекционном, акушерском, хирургическом, гинекологическом, отделении реанимации и интенсивной терапии.   </w:t>
      </w:r>
    </w:p>
    <w:p w:rsidR="00B80D66" w:rsidRPr="00B80D66" w:rsidRDefault="00B80D66" w:rsidP="00B80D66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Кадровое обеспечение: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  Амбулаторно –  поликлиническое   звено состоит из 9 педиатрических участков, 1 участка врача общей (семейной) практики.</w:t>
      </w:r>
    </w:p>
    <w:p w:rsidR="00B80D66" w:rsidRPr="00B80D66" w:rsidRDefault="00B80D66" w:rsidP="00B80D66">
      <w:pPr>
        <w:suppressAutoHyphens/>
        <w:autoSpaceDN w:val="0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Кадровый потенциал участковой сети: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2494"/>
        <w:gridCol w:w="1589"/>
        <w:gridCol w:w="1812"/>
        <w:gridCol w:w="2717"/>
      </w:tblGrid>
      <w:tr w:rsidR="00B80D66" w:rsidRPr="00B80D66" w:rsidTr="00B80D66">
        <w:trPr>
          <w:trHeight w:val="747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должность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по  штату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физические  лица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%  укомплектованности</w:t>
            </w:r>
          </w:p>
        </w:tc>
      </w:tr>
      <w:tr w:rsidR="00B80D66" w:rsidRPr="00B80D66" w:rsidTr="00624B87">
        <w:trPr>
          <w:trHeight w:val="96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Врач-педиатр участковый:</w:t>
            </w:r>
          </w:p>
          <w:p w:rsidR="00B80D66" w:rsidRPr="00B80D66" w:rsidRDefault="00B80D66" w:rsidP="00B80D66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624B87" w:rsidRDefault="00B80D66" w:rsidP="00624B87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9 ст.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624B87" w:rsidRDefault="00B80D66" w:rsidP="00624B87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624B87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624B87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100</w:t>
            </w: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%</w:t>
            </w:r>
          </w:p>
        </w:tc>
      </w:tr>
      <w:tr w:rsidR="00B80D66" w:rsidRPr="00B80D66" w:rsidTr="00B80D66">
        <w:trPr>
          <w:trHeight w:val="747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Медицинская сестра кабинета педиатра участкового</w:t>
            </w:r>
          </w:p>
          <w:p w:rsidR="00B80D66" w:rsidRPr="00B80D66" w:rsidRDefault="00B80D66" w:rsidP="00B80D66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9 ст.</w:t>
            </w:r>
          </w:p>
          <w:p w:rsidR="00B80D66" w:rsidRPr="00B80D66" w:rsidRDefault="00B80D66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9</w:t>
            </w:r>
          </w:p>
          <w:p w:rsidR="00B80D66" w:rsidRPr="00B80D66" w:rsidRDefault="00B80D66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100,0</w:t>
            </w:r>
          </w:p>
          <w:p w:rsidR="00B80D66" w:rsidRPr="00B80D66" w:rsidRDefault="00B80D66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 Укомплектованность стационаров врачами - педиатрами и средним медицинским персоналом   составляет 100</w:t>
      </w:r>
      <w:r w:rsidR="00624B87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%.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  Укомплектованность узкими специалистами: имеется детский хирург, ортопед, невролог, детский стоматолог, инфекционист, фтизиатр, уроло</w:t>
      </w:r>
      <w:r w:rsidR="00652F74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г; другие специалисты  </w:t>
      </w:r>
      <w:proofErr w:type="gramStart"/>
      <w:r w:rsidR="00652F74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(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proofErr w:type="gramEnd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акушер-гинеколог,  </w:t>
      </w:r>
      <w:r w:rsidR="006412CC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дерматолог, </w:t>
      </w:r>
      <w:r w:rsidR="006412CC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психиатр, ЛОР) ведут совмещенный прием детского и взрослого населения.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 Все врачи – педиатры, медицинские сестры имеют сертификаты.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lastRenderedPageBreak/>
        <w:t>Из  9 участковых  врачей-педиатров:  2- врачей  имеет высшую категорию,  2- врачей имеют первую категорию.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Медицинских сестер, работающих в  амбулаторной педиатрической службе – 34, из них 9 участковых (2 имеют высшую категорию).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С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01.08.2020 г.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в штат детской поликлиники переведены медицинские сестры, работающие в медицинских кабинетах детских садов и школ.</w:t>
      </w:r>
    </w:p>
    <w:p w:rsidR="00B80D66" w:rsidRPr="00B80D66" w:rsidRDefault="00B80D66" w:rsidP="00B80D66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Стационарная  помощь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В стационаре для оказания лечебной помощи детям развернуто: 13 педиатрических коек с круглосуточным пребыванием и 7 педиатрических коек с дневным пребыванием в две смены, 15 детских коек в инфекционном отделении, в акушерском стационаре предусмотрено 8 коек для совместного пребывания матери с новорожденным ребенком.</w:t>
      </w:r>
    </w:p>
    <w:p w:rsidR="00B80D66" w:rsidRPr="0088790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88790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Уровень госпитализации на детские койки составил  </w:t>
      </w:r>
      <w:r w:rsidR="003D4D2E" w:rsidRPr="0088790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21</w:t>
      </w:r>
      <w:r w:rsidRPr="0088790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на 1000  чел. населения.</w:t>
      </w:r>
    </w:p>
    <w:p w:rsidR="00B80D66" w:rsidRPr="0088790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88790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Число детей, получивших стацио</w:t>
      </w:r>
      <w:r w:rsidR="003D4D2E" w:rsidRPr="0088790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нарную медицинскую помощь – </w:t>
      </w:r>
      <w:r w:rsidR="00D4712F">
        <w:rPr>
          <w:rFonts w:ascii="Times New Roman" w:eastAsia="Arial Unicode MS" w:hAnsi="Times New Roman" w:cs="Mangal"/>
          <w:color w:val="FF0000"/>
          <w:kern w:val="3"/>
          <w:sz w:val="28"/>
          <w:szCs w:val="28"/>
          <w:lang w:eastAsia="zh-CN" w:bidi="hi-IN"/>
        </w:rPr>
        <w:t>804</w:t>
      </w:r>
      <w:r w:rsidR="0088790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88790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чел.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Показатели  работы  детских  стационаров  ГБУЗ  СК  «Труновская  РБ»</w:t>
      </w:r>
    </w:p>
    <w:p w:rsidR="00B80D66" w:rsidRPr="00D4712F" w:rsidRDefault="00624B87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в  2021</w:t>
      </w:r>
      <w:r w:rsidR="00B80D66"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 xml:space="preserve"> г.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162"/>
        <w:gridCol w:w="1131"/>
        <w:gridCol w:w="976"/>
        <w:gridCol w:w="882"/>
        <w:gridCol w:w="1111"/>
        <w:gridCol w:w="857"/>
        <w:gridCol w:w="876"/>
        <w:gridCol w:w="1050"/>
      </w:tblGrid>
      <w:tr w:rsidR="00B80D66" w:rsidRPr="00B80D66" w:rsidTr="00B80D66">
        <w:trPr>
          <w:trHeight w:val="747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отделение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Поступило</w:t>
            </w:r>
          </w:p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 xml:space="preserve">больных  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Выписано</w:t>
            </w:r>
          </w:p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больных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%</w:t>
            </w:r>
          </w:p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выполнениякойко-дней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Функция койки</w:t>
            </w:r>
          </w:p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Длительностьпребывания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Обо</w:t>
            </w:r>
          </w:p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рот</w:t>
            </w:r>
          </w:p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койки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Умер</w:t>
            </w:r>
          </w:p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ло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Летальность</w:t>
            </w:r>
          </w:p>
        </w:tc>
      </w:tr>
      <w:tr w:rsidR="00B80D66" w:rsidRPr="00B80D66" w:rsidTr="00B80D66">
        <w:trPr>
          <w:trHeight w:val="747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Педиатри</w:t>
            </w:r>
          </w:p>
          <w:p w:rsidR="00B80D66" w:rsidRPr="00D4712F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ческое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149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149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3D4D2E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7</w:t>
            </w:r>
            <w:r w:rsidR="00D4712F"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174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3D4D2E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11.5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3D4D2E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3D4D2E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B80D66" w:rsidRPr="00B80D66" w:rsidTr="00B80D66">
        <w:trPr>
          <w:trHeight w:val="747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Инфекционное</w:t>
            </w:r>
          </w:p>
          <w:p w:rsidR="00B80D66" w:rsidRPr="00D4712F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(детское)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356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350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3D4D2E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7</w:t>
            </w:r>
            <w:r w:rsidR="00D4712F"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162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3D4D2E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8.1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3D4D2E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3D4D2E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B80D66" w:rsidRPr="00B80D66" w:rsidTr="00B80D66">
        <w:trPr>
          <w:trHeight w:val="747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Дневной стациона</w:t>
            </w:r>
            <w:proofErr w:type="gramStart"/>
            <w:r w:rsidRPr="00D4712F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р(</w:t>
            </w:r>
            <w:proofErr w:type="gramEnd"/>
            <w:r w:rsidRPr="00D4712F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 xml:space="preserve">педиатрические  </w:t>
            </w:r>
            <w:r w:rsidRPr="00D4712F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койки)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299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299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84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156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3D4D2E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8.7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3D4D2E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D4712F" w:rsidRDefault="003D4D2E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4712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 Случаев вну</w:t>
      </w:r>
      <w:r w:rsidR="0088790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трибольничной  инфекции  в  2019-2021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г.г.  в   детских  стационарах  РБ  не зарегистрировано.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  Расширены возможности лабораторного и инструментального обследования детей: расширен спектр лабораторных анализов, в т.ч. ИФА, ПЦР, гормональный спектр, проводится </w:t>
      </w:r>
      <w:proofErr w:type="gramStart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суточное</w:t>
      </w:r>
      <w:proofErr w:type="gramEnd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мониторирование ЭКГ, эхокардиография,  эхография мозга детям первого года жизни.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Всем беременным женщинам  оказывается мед</w:t>
      </w:r>
      <w:r w:rsidR="00652F74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ицинская помощь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: проводятся инструментальные, лабораторные исследования, ко</w:t>
      </w:r>
      <w:r w:rsidR="00652F74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нсультация гинеколога в ГБУЗ СК «СККБ»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по показаниям, консультации гинеколог</w:t>
      </w:r>
      <w:proofErr w:type="gramStart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а-</w:t>
      </w:r>
      <w:proofErr w:type="gramEnd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эндокринолога, акушер-гинеколога, генетика в  СККДЦ.</w:t>
      </w:r>
    </w:p>
    <w:p w:rsidR="00B80D66" w:rsidRPr="00B80D66" w:rsidRDefault="00B80D66" w:rsidP="00887906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Основные  демографические показатели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Численность д</w:t>
      </w:r>
      <w:r w:rsidR="00E505EF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етского населения на 01.01</w:t>
      </w:r>
      <w:r w:rsidR="00624B87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.2021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г – </w:t>
      </w:r>
      <w:r w:rsidR="00624B87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6495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, в т</w:t>
      </w:r>
      <w:r w:rsidR="004502C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.ч. детей первого года жизни </w:t>
      </w:r>
      <w:r w:rsidR="00624B87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278</w:t>
      </w:r>
      <w:r w:rsidR="004502C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чел., детей 0-14 лет  </w:t>
      </w:r>
      <w:r w:rsidR="008E45C1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5467</w:t>
      </w:r>
      <w:r w:rsidR="004502C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, подростков 15-17 лет </w:t>
      </w:r>
      <w:r w:rsidR="008E45C1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-1028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.            </w:t>
      </w:r>
    </w:p>
    <w:p w:rsid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Доля  детей  1 группы  здоровья в общеобразовательных у</w:t>
      </w:r>
      <w:r w:rsidR="00EE23C5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чреждениях составляет </w:t>
      </w:r>
      <w:r w:rsidR="0088790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25,9</w:t>
      </w:r>
      <w:r w:rsidR="00EE23C5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% ,  2  группы  здоровья</w:t>
      </w:r>
      <w:r w:rsidR="0088790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EE23C5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88790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60,5 </w:t>
      </w:r>
      <w:r w:rsidR="00EE23C5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%,</w:t>
      </w:r>
      <w:r w:rsidR="0088790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EE23C5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3 группы  </w:t>
      </w:r>
      <w:r w:rsidR="0088790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здоровья 13,6</w:t>
      </w:r>
      <w:r w:rsidR="00EE23C5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%, 4 группы  здор</w:t>
      </w:r>
      <w:r w:rsidR="0088790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овья 0,02 %, 5 группы  здоровья 2</w:t>
      </w:r>
      <w:r w:rsidR="00EE23C5"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%.</w:t>
      </w:r>
    </w:p>
    <w:p w:rsidR="004502CB" w:rsidRPr="00B80D66" w:rsidRDefault="004502CB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5"/>
        <w:gridCol w:w="2126"/>
        <w:gridCol w:w="2268"/>
        <w:gridCol w:w="1985"/>
      </w:tblGrid>
      <w:tr w:rsidR="00B80D66" w:rsidRPr="00B80D66" w:rsidTr="00B80D66">
        <w:trPr>
          <w:trHeight w:val="465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4502CB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201</w:t>
            </w:r>
            <w:r w:rsidR="006412CC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4502CB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20</w:t>
            </w:r>
            <w:r w:rsidR="0088790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4502CB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202</w:t>
            </w:r>
            <w:r w:rsidR="0088790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B80D66" w:rsidRPr="00B80D66" w:rsidTr="00B80D66">
        <w:trPr>
          <w:trHeight w:val="465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Рождаемость</w:t>
            </w:r>
            <w:r w:rsidR="0088790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(на 1000 насел.)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EE23C5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8.</w:t>
            </w:r>
            <w:r w:rsidR="0088790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88790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7,58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E505EF" w:rsidP="0088790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7,43</w:t>
            </w:r>
          </w:p>
        </w:tc>
      </w:tr>
      <w:tr w:rsidR="00B80D66" w:rsidRPr="00B80D66" w:rsidTr="00B80D66">
        <w:trPr>
          <w:trHeight w:val="465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Смертность детей до 18 лет</w:t>
            </w:r>
          </w:p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(1-18 лет)</w:t>
            </w:r>
            <w:r w:rsidR="0088790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(на 100 тыс. насел.)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EE23C5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  <w:r w:rsidR="0088790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,87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CF197A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0.8</w:t>
            </w:r>
            <w:r w:rsidR="0088790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0,</w:t>
            </w:r>
            <w:r w:rsidR="00A6583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8</w:t>
            </w:r>
            <w:r w:rsidR="00E505E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B80D66" w:rsidRPr="00B80D66" w:rsidTr="00887906">
        <w:trPr>
          <w:trHeight w:val="827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Младенческая смертность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88790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11,2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88790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4,3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  <w:r w:rsidR="00E505EF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,5</w:t>
            </w:r>
          </w:p>
        </w:tc>
      </w:tr>
      <w:tr w:rsidR="00B80D66" w:rsidRPr="00B80D66" w:rsidTr="00B80D66">
        <w:trPr>
          <w:trHeight w:val="465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Материнская смертность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EE23C5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4A37C3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4A37C3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B80D66" w:rsidRPr="00B80D66" w:rsidTr="00B80D66">
        <w:trPr>
          <w:trHeight w:val="465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 xml:space="preserve">Общая заболеваемость </w:t>
            </w: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детей до 1 года</w:t>
            </w:r>
            <w:r w:rsidR="0088790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6583F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(</w:t>
            </w: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на 1000 насел.)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88790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3118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88790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3145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4684</w:t>
            </w:r>
          </w:p>
        </w:tc>
      </w:tr>
      <w:tr w:rsidR="00B80D66" w:rsidRPr="00B80D66" w:rsidTr="00887906">
        <w:trPr>
          <w:trHeight w:val="1508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Общая заболеваемость детей до 17 лет включительно</w:t>
            </w:r>
            <w:r w:rsidR="0088790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8790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(</w:t>
            </w: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на 1000 насел.)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88790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11162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887906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8794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D4712F" w:rsidP="00B80D66">
            <w:pPr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9036</w:t>
            </w:r>
          </w:p>
        </w:tc>
      </w:tr>
    </w:tbl>
    <w:p w:rsidR="00B80D66" w:rsidRPr="00B80D66" w:rsidRDefault="00B80D66" w:rsidP="00B80D66">
      <w:pPr>
        <w:suppressAutoHyphens/>
        <w:autoSpaceDN w:val="0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</w:t>
      </w:r>
      <w:r w:rsidR="004502CB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Таким  </w:t>
      </w:r>
      <w:r w:rsidR="0088790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образом,  в  течение 2019-2021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годов  в  районе резко </w:t>
      </w:r>
      <w:r w:rsidR="00E505EF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снизилась рождаемость,  снизился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показатель смертности детей от 1</w:t>
      </w:r>
      <w:r w:rsidR="0088790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года д</w:t>
      </w:r>
      <w:r w:rsidR="00E505EF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о 18 лет,   увеличился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показатель  младенческой  смертности, заболеваемость дете</w:t>
      </w:r>
      <w:r w:rsidR="0088790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й  до 17 лет включительно в 2021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году уменьшилась. </w:t>
      </w:r>
    </w:p>
    <w:p w:rsidR="00B80D66" w:rsidRPr="00624B87" w:rsidRDefault="00B80D66" w:rsidP="00624B87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Число детей - инвалидов, наблюдающихся в медицинских учреждениях Труновского района</w:t>
      </w:r>
    </w:p>
    <w:tbl>
      <w:tblPr>
        <w:tblW w:w="74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3"/>
        <w:gridCol w:w="1713"/>
        <w:gridCol w:w="1700"/>
        <w:gridCol w:w="1701"/>
      </w:tblGrid>
      <w:tr w:rsidR="00D87D02" w:rsidRPr="00B80D66" w:rsidTr="00D87D02">
        <w:trPr>
          <w:trHeight w:val="465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02" w:rsidRPr="00B80D66" w:rsidRDefault="00D87D02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02" w:rsidRPr="00B80D66" w:rsidRDefault="00D87D02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201</w:t>
            </w:r>
            <w:r w:rsidR="0088790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02" w:rsidRPr="00B80D66" w:rsidRDefault="00D87D02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20</w:t>
            </w:r>
            <w:r w:rsidR="0088790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02" w:rsidRPr="00B80D66" w:rsidRDefault="00D87D02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202</w:t>
            </w:r>
            <w:r w:rsidR="0088790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</w:tr>
      <w:tr w:rsidR="00D87D02" w:rsidRPr="00B80D66" w:rsidTr="00D87D02">
        <w:trPr>
          <w:trHeight w:val="465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02" w:rsidRPr="00B80D66" w:rsidRDefault="00D87D02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Всего детей – инвалидов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02" w:rsidRPr="00B80D66" w:rsidRDefault="00887906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153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02" w:rsidRPr="00B80D66" w:rsidRDefault="00887906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02" w:rsidRPr="00B80D66" w:rsidRDefault="008E45C1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179</w:t>
            </w:r>
          </w:p>
        </w:tc>
      </w:tr>
      <w:tr w:rsidR="00D87D02" w:rsidRPr="00B80D66" w:rsidTr="00D87D02">
        <w:trPr>
          <w:trHeight w:val="465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02" w:rsidRPr="00B80D66" w:rsidRDefault="00D87D02" w:rsidP="0088790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В т.ч. с  впервые установленной</w:t>
            </w:r>
            <w:r w:rsidR="0088790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80D66"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инвалидностью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02" w:rsidRPr="00B80D66" w:rsidRDefault="00887906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02" w:rsidRPr="00B80D66" w:rsidRDefault="00887906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D02" w:rsidRPr="00B80D66" w:rsidRDefault="00A6583F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</w:tr>
    </w:tbl>
    <w:p w:rsidR="00B80D66" w:rsidRPr="0061180B" w:rsidRDefault="0088790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Таким  образом,  с  2019 </w:t>
      </w:r>
      <w:r w:rsidR="00B80D66"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г  количество  детей-</w:t>
      </w:r>
      <w:proofErr w:type="gramStart"/>
      <w:r w:rsidR="00B80D66"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инвалидов,    проживающих   в  районе  увеличилось</w:t>
      </w:r>
      <w:proofErr w:type="gramEnd"/>
      <w:r w:rsidR="00B80D66"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,    количество  детей  с  впервые  установленной инвалидностью так же увеличилось.</w:t>
      </w: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 xml:space="preserve">Охват профилактическими медицинскими осмотрами детей в </w:t>
      </w:r>
      <w:r w:rsidR="004766BA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 xml:space="preserve">  </w:t>
      </w:r>
      <w:proofErr w:type="gramStart"/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декретированные</w:t>
      </w:r>
      <w:proofErr w:type="gramEnd"/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 xml:space="preserve"> возраста</w:t>
      </w:r>
      <w:r w:rsidR="004766BA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.</w:t>
      </w:r>
    </w:p>
    <w:p w:rsidR="00B80D66" w:rsidRPr="00B80D66" w:rsidRDefault="004766BA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В</w:t>
      </w:r>
      <w:r w:rsidR="00B80D66"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ыполнение плана профилактических осмотров детского населения </w:t>
      </w:r>
      <w:r w:rsidR="00877A2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составляет  </w:t>
      </w:r>
      <w:r w:rsidR="00D87D02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100</w:t>
      </w:r>
      <w:r w:rsidR="00B80D66"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%, подростков-</w:t>
      </w:r>
      <w:r w:rsidR="00D87D02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154C4F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84,3 </w:t>
      </w:r>
      <w:r w:rsidR="00B80D66"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%.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  </w:t>
      </w:r>
      <w:proofErr w:type="gramStart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В  соответствии с постановлением Правительства Российской Федерации от 14 февраля 2013 года №116  «О мерах по совершенствованию организации медицинской помощи детям-сиротам и детям,  оставшимся без попечения родителей»,  приказом Министерства здравоохранения Российской Федерации от  11 апреля 2013 г. № 216-н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lastRenderedPageBreak/>
        <w:t>(попечительство), в приемную</w:t>
      </w:r>
      <w:proofErr w:type="gramEnd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или патронатную семью»,  приказом Министерства здравоохранения Ставропольского края   «О проведении диспансеризации в Ставропольском крае в 2018 году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семью», был издан приказ главного врача ГБУЗ СК «Тр</w:t>
      </w:r>
      <w:r w:rsidR="004766BA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уновская РБ» от  28 августа 2021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г. № 320-р «О проведении  диспансериз</w:t>
      </w:r>
      <w:r w:rsidR="004766BA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ации в Труновском районе  в</w:t>
      </w:r>
      <w:proofErr w:type="gramEnd"/>
      <w:r w:rsidR="004766BA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2021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году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семью».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   В Труновском  районе диспансер</w:t>
      </w:r>
      <w:r w:rsidR="00390492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изация проведена в сентябре 2</w:t>
      </w:r>
      <w:r w:rsidR="00154C4F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021 </w:t>
      </w:r>
      <w:r w:rsidR="00D87D02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года. Всего было осмотрено </w:t>
      </w:r>
      <w:r w:rsidR="00154C4F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38</w:t>
      </w:r>
      <w:r w:rsidR="00390492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детей  (</w:t>
      </w:r>
      <w:r w:rsidR="00154C4F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82,6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%  </w:t>
      </w:r>
      <w:proofErr w:type="gramStart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от</w:t>
      </w:r>
      <w:proofErr w:type="gramEnd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запланированного).       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   По итогам диспансеризации  установлено, что на первом месте среди заболеваний стоят</w:t>
      </w:r>
      <w:r w:rsidR="00390492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заболевания нервной системы- </w:t>
      </w:r>
      <w:r w:rsidR="00334FBD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76,</w:t>
      </w:r>
      <w:r w:rsidR="00154C4F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5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%,</w:t>
      </w:r>
      <w:r w:rsidR="00390492" w:rsidRPr="00390492">
        <w:rPr>
          <w:rFonts w:ascii="Times New Roman" w:hAnsi="Times New Roman" w:cs="Times New Roman"/>
          <w:sz w:val="28"/>
          <w:szCs w:val="28"/>
        </w:rPr>
        <w:t xml:space="preserve"> </w:t>
      </w:r>
      <w:r w:rsidR="00390492">
        <w:rPr>
          <w:rFonts w:ascii="Times New Roman" w:hAnsi="Times New Roman" w:cs="Times New Roman"/>
          <w:sz w:val="28"/>
          <w:szCs w:val="28"/>
        </w:rPr>
        <w:t xml:space="preserve">на втором </w:t>
      </w:r>
      <w:r w:rsidR="004766BA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390492">
        <w:rPr>
          <w:rFonts w:ascii="Times New Roman" w:hAnsi="Times New Roman" w:cs="Times New Roman"/>
          <w:sz w:val="28"/>
          <w:szCs w:val="28"/>
        </w:rPr>
        <w:t xml:space="preserve">заболевания глаз </w:t>
      </w:r>
      <w:r w:rsidR="00334FBD">
        <w:rPr>
          <w:rFonts w:ascii="Times New Roman" w:hAnsi="Times New Roman" w:cs="Times New Roman"/>
          <w:sz w:val="28"/>
          <w:szCs w:val="28"/>
        </w:rPr>
        <w:t>-</w:t>
      </w:r>
      <w:r w:rsidR="00390492">
        <w:rPr>
          <w:rFonts w:ascii="Times New Roman" w:hAnsi="Times New Roman" w:cs="Times New Roman"/>
          <w:sz w:val="28"/>
          <w:szCs w:val="28"/>
        </w:rPr>
        <w:t>1</w:t>
      </w:r>
      <w:r w:rsidR="00154C4F">
        <w:rPr>
          <w:rFonts w:ascii="Times New Roman" w:hAnsi="Times New Roman" w:cs="Times New Roman"/>
          <w:sz w:val="28"/>
          <w:szCs w:val="28"/>
        </w:rPr>
        <w:t>5</w:t>
      </w:r>
      <w:r w:rsidR="00390492">
        <w:rPr>
          <w:rFonts w:ascii="Times New Roman" w:hAnsi="Times New Roman" w:cs="Times New Roman"/>
          <w:sz w:val="28"/>
          <w:szCs w:val="28"/>
        </w:rPr>
        <w:t>,6%, на третьем месте-опорно-двигательного аппарата</w:t>
      </w:r>
      <w:r w:rsidR="00154C4F">
        <w:rPr>
          <w:rFonts w:ascii="Times New Roman" w:hAnsi="Times New Roman" w:cs="Times New Roman"/>
          <w:sz w:val="28"/>
          <w:szCs w:val="28"/>
        </w:rPr>
        <w:t xml:space="preserve"> и мочевыделительной системы - 3</w:t>
      </w:r>
      <w:r w:rsidR="00390492">
        <w:rPr>
          <w:rFonts w:ascii="Times New Roman" w:hAnsi="Times New Roman" w:cs="Times New Roman"/>
          <w:sz w:val="28"/>
          <w:szCs w:val="28"/>
        </w:rPr>
        <w:t>,9%, на четвертом заболевания ЛОР органов</w:t>
      </w:r>
      <w:r w:rsidR="004766BA">
        <w:rPr>
          <w:rFonts w:ascii="Times New Roman" w:hAnsi="Times New Roman" w:cs="Times New Roman"/>
          <w:sz w:val="28"/>
          <w:szCs w:val="28"/>
        </w:rPr>
        <w:t>-2,1%</w:t>
      </w:r>
      <w:r w:rsidR="00390492">
        <w:rPr>
          <w:rFonts w:ascii="Times New Roman" w:hAnsi="Times New Roman" w:cs="Times New Roman"/>
          <w:sz w:val="28"/>
          <w:szCs w:val="28"/>
        </w:rPr>
        <w:t>, желудочно-кишечного тр</w:t>
      </w:r>
      <w:r w:rsidR="00154C4F">
        <w:rPr>
          <w:rFonts w:ascii="Times New Roman" w:hAnsi="Times New Roman" w:cs="Times New Roman"/>
          <w:sz w:val="28"/>
          <w:szCs w:val="28"/>
        </w:rPr>
        <w:t>акта и органов кровообращения -1</w:t>
      </w:r>
      <w:r w:rsidR="00390492">
        <w:rPr>
          <w:rFonts w:ascii="Times New Roman" w:hAnsi="Times New Roman" w:cs="Times New Roman"/>
          <w:sz w:val="28"/>
          <w:szCs w:val="28"/>
        </w:rPr>
        <w:t>,9</w:t>
      </w:r>
      <w:r w:rsidR="00154C4F">
        <w:rPr>
          <w:rFonts w:ascii="Times New Roman" w:hAnsi="Times New Roman" w:cs="Times New Roman"/>
          <w:sz w:val="28"/>
          <w:szCs w:val="28"/>
        </w:rPr>
        <w:t xml:space="preserve"> </w:t>
      </w:r>
      <w:r w:rsidR="00390492">
        <w:rPr>
          <w:rFonts w:ascii="Times New Roman" w:hAnsi="Times New Roman" w:cs="Times New Roman"/>
          <w:sz w:val="28"/>
          <w:szCs w:val="28"/>
        </w:rPr>
        <w:t>%.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A6583F" w:rsidRDefault="00B80D66" w:rsidP="00A6583F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Диспансеризация детей - сирот и детей, оставшихся без попечения родителей, пребывающих в стационарных учреждениях,  в районе не проводится, в связи с отсутствием стационарных учреждений для данной категории детей</w:t>
      </w:r>
    </w:p>
    <w:p w:rsidR="00B80D66" w:rsidRPr="00B80D66" w:rsidRDefault="00B80D66" w:rsidP="00A6583F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 xml:space="preserve">Охват профилактическими прививками в </w:t>
      </w:r>
      <w:proofErr w:type="gramStart"/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декретированные</w:t>
      </w:r>
      <w:proofErr w:type="gramEnd"/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 xml:space="preserve"> возраста  в</w:t>
      </w:r>
    </w:p>
    <w:p w:rsidR="00B80D66" w:rsidRPr="00A6583F" w:rsidRDefault="00154C4F" w:rsidP="00A6583F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2021</w:t>
      </w:r>
      <w:r w:rsidR="00B80D66"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 xml:space="preserve"> г.</w:t>
      </w: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976"/>
        <w:gridCol w:w="1850"/>
        <w:gridCol w:w="2268"/>
        <w:gridCol w:w="1128"/>
      </w:tblGrid>
      <w:tr w:rsidR="00B80D66" w:rsidRPr="00B80D66" w:rsidTr="00A6583F">
        <w:trPr>
          <w:trHeight w:val="1883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Воз-</w:t>
            </w:r>
          </w:p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раст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Вид прививки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Состоит</w:t>
            </w:r>
            <w:r w:rsidR="00154C4F"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на учете</w:t>
            </w:r>
            <w:r w:rsidR="00154C4F"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детей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Число детей,</w:t>
            </w:r>
            <w:r w:rsidR="00154C4F"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которым сделана прививка по достижению ими указанного возраста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охвата</w:t>
            </w:r>
          </w:p>
        </w:tc>
      </w:tr>
      <w:tr w:rsidR="00B80D66" w:rsidRPr="00B80D66" w:rsidTr="00B80D66">
        <w:trPr>
          <w:trHeight w:val="93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12 мес.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Вакцинация против дифтерии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027038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95</w:t>
            </w:r>
            <w:r w:rsidR="00154C4F"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,5%</w:t>
            </w:r>
          </w:p>
        </w:tc>
      </w:tr>
      <w:tr w:rsidR="00B80D66" w:rsidRPr="00B80D66" w:rsidTr="00B80D66">
        <w:trPr>
          <w:trHeight w:val="93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24 мес.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Первая ревакцинация против дифтерии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315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027038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95</w:t>
            </w:r>
            <w:r w:rsidR="00154C4F"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,4%</w:t>
            </w:r>
          </w:p>
        </w:tc>
      </w:tr>
      <w:tr w:rsidR="00B80D66" w:rsidRPr="00B80D66" w:rsidTr="00B80D66">
        <w:trPr>
          <w:trHeight w:val="93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12 мес.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Вакцинация против коклюша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95,5%</w:t>
            </w:r>
          </w:p>
        </w:tc>
      </w:tr>
      <w:tr w:rsidR="00154C4F" w:rsidRPr="00B80D66" w:rsidTr="00B80D66">
        <w:trPr>
          <w:trHeight w:val="93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24 мес.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Ревакцинация против коклюша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315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95,4%</w:t>
            </w:r>
          </w:p>
        </w:tc>
      </w:tr>
      <w:tr w:rsidR="00B80D66" w:rsidRPr="00B80D66" w:rsidTr="00B80D66">
        <w:trPr>
          <w:trHeight w:val="93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12 мес.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Вакцинация против полиомиелита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A6583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298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A6583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  <w:r w:rsidR="00154C4F"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5%</w:t>
            </w:r>
          </w:p>
        </w:tc>
      </w:tr>
      <w:tr w:rsidR="00B80D66" w:rsidRPr="00B80D66" w:rsidTr="00B80D66">
        <w:trPr>
          <w:trHeight w:val="93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24 мес.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Вторая ревакцинация против полиомиелита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A6583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314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027038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  <w:r w:rsidR="00A658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154C4F"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B80D66" w:rsidRPr="00B80D66" w:rsidTr="00B80D66">
        <w:trPr>
          <w:trHeight w:val="93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24 мес.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Вакцинация против кори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320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027038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  <w:r w:rsidR="00154C4F"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7%</w:t>
            </w:r>
          </w:p>
        </w:tc>
      </w:tr>
      <w:tr w:rsidR="00B80D66" w:rsidRPr="00B80D66" w:rsidTr="00B80D66">
        <w:trPr>
          <w:trHeight w:val="93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24 мес.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Вакцинация против </w:t>
            </w:r>
            <w:proofErr w:type="spellStart"/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эпид</w:t>
            </w:r>
            <w:proofErr w:type="spellEnd"/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="00334FB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паротита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320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027038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  <w:r w:rsidR="00154C4F"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7%</w:t>
            </w:r>
          </w:p>
        </w:tc>
      </w:tr>
      <w:tr w:rsidR="00B80D66" w:rsidRPr="00B80D66" w:rsidTr="00B80D66">
        <w:trPr>
          <w:trHeight w:val="93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24 мес.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Вакцинация против краснухи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320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97%</w:t>
            </w:r>
          </w:p>
        </w:tc>
      </w:tr>
      <w:tr w:rsidR="00B80D66" w:rsidRPr="00B80D66" w:rsidTr="00A6583F">
        <w:trPr>
          <w:trHeight w:val="1555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Новороже</w:t>
            </w:r>
            <w:r w:rsidR="00154C4F"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н</w:t>
            </w: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ные (30 дней)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Вакцинация против туберкулеза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A6583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278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A6583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A6583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99</w:t>
            </w:r>
            <w:r w:rsidR="00154C4F"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B80D66" w:rsidRPr="00B80D66" w:rsidTr="00B80D66">
        <w:trPr>
          <w:trHeight w:val="93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12 мес.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Вакцинация против вирусного гепатита</w:t>
            </w:r>
            <w:proofErr w:type="gramStart"/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В</w:t>
            </w:r>
            <w:proofErr w:type="gramEnd"/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  <w:r w:rsidR="00A658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027038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  <w:r w:rsidR="00A6583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5,5</w:t>
            </w:r>
            <w:r w:rsidR="00154C4F"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%</w:t>
            </w:r>
          </w:p>
        </w:tc>
      </w:tr>
      <w:tr w:rsidR="00B80D66" w:rsidRPr="00B80D66" w:rsidTr="00B80D66">
        <w:trPr>
          <w:trHeight w:val="934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12мес.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Вакцинация против пневмококковой инфекции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154C4F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027038" w:rsidP="00504E28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95</w:t>
            </w:r>
            <w:r w:rsidR="00154C4F" w:rsidRPr="00504E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,5%</w:t>
            </w:r>
          </w:p>
        </w:tc>
      </w:tr>
    </w:tbl>
    <w:p w:rsidR="00B80D66" w:rsidRPr="00B80D66" w:rsidRDefault="00B80D66" w:rsidP="00504E28">
      <w:pPr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Охват профилактическими прививками детского населения</w:t>
      </w:r>
    </w:p>
    <w:p w:rsidR="00B80D66" w:rsidRPr="00B80D66" w:rsidRDefault="00D4712F" w:rsidP="00B80D66">
      <w:pPr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за  2021</w:t>
      </w:r>
      <w:r w:rsidR="00B80D66"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г.</w:t>
      </w:r>
    </w:p>
    <w:p w:rsidR="00B80D66" w:rsidRPr="00B80D66" w:rsidRDefault="00B80D66" w:rsidP="00B80D66">
      <w:pPr>
        <w:suppressAutoHyphens/>
        <w:autoSpaceDN w:val="0"/>
        <w:spacing w:after="0"/>
        <w:jc w:val="center"/>
        <w:textAlignment w:val="baseline"/>
        <w:rPr>
          <w:rFonts w:ascii="Times New Roman" w:eastAsia="Arial Unicode MS" w:hAnsi="Times New Roman" w:cs="Mangal"/>
          <w:b/>
          <w:kern w:val="3"/>
          <w:sz w:val="28"/>
          <w:szCs w:val="28"/>
          <w:lang w:eastAsia="zh-CN" w:bidi="hi-IN"/>
        </w:rPr>
      </w:pPr>
    </w:p>
    <w:tbl>
      <w:tblPr>
        <w:tblW w:w="98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668"/>
        <w:gridCol w:w="2523"/>
        <w:gridCol w:w="2669"/>
      </w:tblGrid>
      <w:tr w:rsidR="00B80D66" w:rsidRPr="00B80D66" w:rsidTr="00154C4F">
        <w:trPr>
          <w:trHeight w:val="1573"/>
        </w:trPr>
        <w:tc>
          <w:tcPr>
            <w:tcW w:w="1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Вид прививки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факт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%</w:t>
            </w:r>
          </w:p>
          <w:p w:rsidR="00B80D66" w:rsidRPr="00504E28" w:rsidRDefault="00B80D66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i/>
                <w:kern w:val="3"/>
                <w:sz w:val="24"/>
                <w:szCs w:val="24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охвата</w:t>
            </w:r>
          </w:p>
        </w:tc>
      </w:tr>
      <w:tr w:rsidR="00B80D66" w:rsidRPr="00B80D66" w:rsidTr="00D4712F">
        <w:trPr>
          <w:trHeight w:val="70"/>
        </w:trPr>
        <w:tc>
          <w:tcPr>
            <w:tcW w:w="1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D471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D4712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B80D66" w:rsidP="00504E2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80D66" w:rsidRPr="00B80D66" w:rsidTr="00504E28">
        <w:trPr>
          <w:trHeight w:val="732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Вакцинация против дифтерии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347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347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100</w:t>
            </w:r>
          </w:p>
        </w:tc>
      </w:tr>
      <w:tr w:rsidR="00B80D66" w:rsidRPr="00B80D66" w:rsidTr="00154C4F">
        <w:trPr>
          <w:trHeight w:val="854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lastRenderedPageBreak/>
              <w:t>Первая ревакцинация против дифтерии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306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305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99</w:t>
            </w:r>
          </w:p>
        </w:tc>
      </w:tr>
      <w:tr w:rsidR="00B80D66" w:rsidRPr="00B80D66" w:rsidTr="00154C4F">
        <w:trPr>
          <w:trHeight w:val="555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Вакцинация против коклюша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308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308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</w:tr>
      <w:tr w:rsidR="00B80D66" w:rsidRPr="00B80D66" w:rsidTr="00154C4F">
        <w:trPr>
          <w:trHeight w:val="691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Ревакцинация против коклюша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289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275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95.1</w:t>
            </w:r>
          </w:p>
        </w:tc>
      </w:tr>
      <w:tr w:rsidR="00B80D66" w:rsidRPr="00B80D66" w:rsidTr="00154C4F">
        <w:trPr>
          <w:trHeight w:val="573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Вакцинация против полиомиелита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353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353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</w:tr>
      <w:tr w:rsidR="00B80D66" w:rsidRPr="00B80D66" w:rsidTr="00504E28">
        <w:trPr>
          <w:trHeight w:val="83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Ревакцинация против полиомиелита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1124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1137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027038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101</w:t>
            </w:r>
          </w:p>
        </w:tc>
      </w:tr>
      <w:tr w:rsidR="00B80D66" w:rsidRPr="00B80D66" w:rsidTr="00504E28">
        <w:trPr>
          <w:trHeight w:val="551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Вакцинация против кори</w:t>
            </w:r>
          </w:p>
          <w:p w:rsidR="00B80D66" w:rsidRPr="00504E28" w:rsidRDefault="00B80D66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Default="00027038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299</w:t>
            </w:r>
          </w:p>
          <w:p w:rsidR="00027038" w:rsidRDefault="00027038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27038" w:rsidRPr="00B80D66" w:rsidRDefault="00027038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Default="00027038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299</w:t>
            </w:r>
          </w:p>
          <w:p w:rsidR="00027038" w:rsidRDefault="00027038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27038" w:rsidRPr="00B80D66" w:rsidRDefault="00027038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038" w:rsidRDefault="00027038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10</w:t>
            </w:r>
          </w:p>
          <w:p w:rsidR="00027038" w:rsidRDefault="00027038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B80D66" w:rsidRPr="00B80D66" w:rsidRDefault="00B80D66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54C4F" w:rsidRPr="00B80D66" w:rsidTr="00504E28">
        <w:trPr>
          <w:trHeight w:val="549"/>
        </w:trPr>
        <w:tc>
          <w:tcPr>
            <w:tcW w:w="19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Pr="00B80D66" w:rsidRDefault="00154C4F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Ревакцинация против кори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Default="00154C4F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468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Default="00154C4F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468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Default="00154C4F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</w:tr>
      <w:tr w:rsidR="00B80D66" w:rsidRPr="00B80D66" w:rsidTr="00504E28">
        <w:trPr>
          <w:trHeight w:val="814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Вакцинация против эпид.</w:t>
            </w:r>
            <w:r w:rsid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 xml:space="preserve"> </w:t>
            </w: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паротита</w:t>
            </w:r>
          </w:p>
          <w:p w:rsidR="00B80D66" w:rsidRPr="00504E28" w:rsidRDefault="00B80D66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Default="003A0443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299</w:t>
            </w:r>
          </w:p>
          <w:p w:rsidR="003A0443" w:rsidRDefault="003A0443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A0443" w:rsidRPr="00B80D66" w:rsidRDefault="003A0443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Default="003A0443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299</w:t>
            </w:r>
          </w:p>
          <w:p w:rsidR="003A0443" w:rsidRDefault="003A0443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A0443" w:rsidRPr="00B80D66" w:rsidRDefault="003A0443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Default="003A0443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100</w:t>
            </w:r>
          </w:p>
          <w:p w:rsidR="003A0443" w:rsidRDefault="003A0443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A0443" w:rsidRPr="00B80D66" w:rsidRDefault="003A0443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54C4F" w:rsidRPr="00B80D66" w:rsidTr="00504E28">
        <w:trPr>
          <w:trHeight w:val="631"/>
        </w:trPr>
        <w:tc>
          <w:tcPr>
            <w:tcW w:w="19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Pr="00504E28" w:rsidRDefault="00154C4F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Ревакцинация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Default="00154C4F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468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Default="00154C4F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468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Default="00154C4F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</w:tr>
      <w:tr w:rsidR="00B80D66" w:rsidRPr="00B80D66" w:rsidTr="00154C4F">
        <w:trPr>
          <w:trHeight w:val="573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Вакцинация против краснухи</w:t>
            </w:r>
          </w:p>
          <w:p w:rsidR="00B80D66" w:rsidRPr="00504E28" w:rsidRDefault="00B80D66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Default="003A0443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299</w:t>
            </w:r>
          </w:p>
          <w:p w:rsidR="003A0443" w:rsidRPr="00B80D66" w:rsidRDefault="003A0443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Default="003A0443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299</w:t>
            </w:r>
          </w:p>
          <w:p w:rsidR="003A0443" w:rsidRPr="00B80D66" w:rsidRDefault="003A0443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Default="003A0443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100</w:t>
            </w:r>
          </w:p>
          <w:p w:rsidR="003A0443" w:rsidRPr="00B80D66" w:rsidRDefault="003A0443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54C4F" w:rsidRPr="00B80D66" w:rsidTr="00154C4F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Pr="00B80D66" w:rsidRDefault="00154C4F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Ревакцинация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Default="00154C4F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430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Default="00154C4F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C4F" w:rsidRDefault="00154C4F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100</w:t>
            </w:r>
          </w:p>
          <w:p w:rsidR="00154C4F" w:rsidRDefault="00154C4F" w:rsidP="00504E2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80D66" w:rsidRPr="00B80D66" w:rsidTr="00154C4F">
        <w:trPr>
          <w:trHeight w:val="62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Вакцинация против туберкулеза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3A0443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199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3A0443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135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B80D66" w:rsidRDefault="003A0443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70.3</w:t>
            </w:r>
          </w:p>
        </w:tc>
      </w:tr>
      <w:tr w:rsidR="00B80D66" w:rsidRPr="00B80D66" w:rsidTr="00154C4F">
        <w:trPr>
          <w:trHeight w:val="763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B80D66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Вакцинация против вирусного гепатита</w:t>
            </w:r>
            <w:proofErr w:type="gramStart"/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 xml:space="preserve">  В</w:t>
            </w:r>
            <w:proofErr w:type="gramEnd"/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3A0443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315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3A0443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315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D66" w:rsidRPr="00504E28" w:rsidRDefault="003A0443" w:rsidP="00504E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lang w:eastAsia="zh-CN" w:bidi="hi-IN"/>
              </w:rPr>
            </w:pPr>
            <w:r w:rsidRPr="00504E28">
              <w:rPr>
                <w:rFonts w:ascii="Times New Roman" w:eastAsia="Arial Unicode MS" w:hAnsi="Times New Roman" w:cs="Mangal"/>
                <w:kern w:val="3"/>
                <w:lang w:eastAsia="zh-CN" w:bidi="hi-IN"/>
              </w:rPr>
              <w:t>100</w:t>
            </w:r>
          </w:p>
        </w:tc>
      </w:tr>
    </w:tbl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</w:pP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Распространенность вредных привычек, токсикомании, наркомании</w:t>
      </w:r>
      <w:r w:rsidR="00504E28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 xml:space="preserve"> </w:t>
      </w:r>
      <w:r w:rsidRPr="00504E28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-</w:t>
      </w:r>
      <w:r w:rsidR="00504E28" w:rsidRPr="00504E28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у врача на</w:t>
      </w:r>
      <w:r w:rsidR="00504E28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рколога на проф. учете состоит 4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подростков с пагубным употреблением алкоголя. Токсикомании не выявлено.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Выполнение стандарта диспансеризации детей 1 года жизни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 Дети 1-го года жизни, согласно стандарта диспансеризации (приказ Министерства здравоохранения и социального развития РФ № 307), осматриваются врачом-педиатром, а также узкими специалистами: детский хирург, ортопед, офтальмолог, детский невролог, </w:t>
      </w:r>
      <w:proofErr w:type="gramStart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ЛОР-врач</w:t>
      </w:r>
      <w:proofErr w:type="gramEnd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, стоматолог. </w:t>
      </w:r>
      <w:proofErr w:type="gramStart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В районной больнице  выполняются необходимые лабораторные обследования: общий </w:t>
      </w:r>
      <w:r w:rsidR="00504E28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анализ крови, мочи, кал на я/г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, биохимические анализы (по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lastRenderedPageBreak/>
        <w:t>показаниям), выполняется УЗИ исследования: головного мозга, брюшной полости, почек, тазобедренных суставов, сердца; ЭКГ.</w:t>
      </w:r>
      <w:proofErr w:type="gramEnd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Выполнение с</w:t>
      </w:r>
      <w:r w:rsidR="00390492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тандарта  диспанс</w:t>
      </w:r>
      <w:r w:rsidR="00504E28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еризации в 2021</w:t>
      </w:r>
      <w:r w:rsidR="00877A2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году составил  </w:t>
      </w:r>
      <w:r w:rsidR="00504E28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99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%.</w:t>
      </w:r>
    </w:p>
    <w:p w:rsidR="00B80D66" w:rsidRPr="00B80D66" w:rsidRDefault="00B80D66" w:rsidP="00504E28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Обеспечение питанием детей  первых 3 лет жизни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 Обеспечение  детским питанием  осуществляется в соответствии со ст. 52 Федерального закона от 21.11.2011 г. №323-ФЗ «Об основах охраны здоровья граждан в Российской Федерации», законами Ставропольского края от 23.07.2012 г.  №77 –  </w:t>
      </w:r>
      <w:proofErr w:type="gramStart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кз</w:t>
      </w:r>
      <w:proofErr w:type="gramEnd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3C6EA3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«О некоторых вопросах охраны здоровья граждан на территории Ставропольского края», приказом  Министерства здравоохранения Ставропольского края от 24.12.2012 г. № 01-05/1051 «Об утверждении Порядка обеспечения полноценным питанием беременных женщин,  кормящих матерей и детей до трех лет, в том числе через специальные пункты питания и организации торговли, по заключению врачей».</w:t>
      </w:r>
    </w:p>
    <w:p w:rsidR="00B80D66" w:rsidRPr="00D4712F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  Дети  обеспечивались  сухими  молочными  смесями, специализированными смесями,   сухими  молочными  кашами.</w:t>
      </w:r>
    </w:p>
    <w:p w:rsidR="00B80D66" w:rsidRPr="00B80D66" w:rsidRDefault="00B80D66" w:rsidP="00B80D66">
      <w:pPr>
        <w:suppressAutoHyphens/>
        <w:autoSpaceDN w:val="0"/>
        <w:jc w:val="center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>Лекарственное обеспечение: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     Согласно распоряжению Правительства РФ от 30 июля 2012 г. N 1378-р  дети первых трех лет жизни обеспечивались бесплатными медикаментами при амбулаторном лечении по рецептам врачей</w:t>
      </w:r>
      <w:r w:rsidR="008E45C1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.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Все дети</w:t>
      </w:r>
      <w:r w:rsidR="00877A2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504E28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- инвалиды, имеющие соц. пакет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-</w:t>
      </w:r>
      <w:r w:rsidR="00877A2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100% получают лекарственные препараты.</w:t>
      </w:r>
    </w:p>
    <w:p w:rsidR="00B80D66" w:rsidRPr="00710640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Все беременные обеспечиваются лекарственными препаратами, полноценным питан</w:t>
      </w:r>
      <w:r w:rsidR="00390492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ием по заключению врачей. В</w:t>
      </w:r>
      <w:r w:rsidR="00504E28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2021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году пол</w:t>
      </w:r>
      <w:r w:rsidR="00390492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ноценным п</w:t>
      </w:r>
      <w:r w:rsidR="00D87D02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итанием обеспечено </w:t>
      </w:r>
      <w:r w:rsidR="00710640" w:rsidRPr="00710640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204</w:t>
      </w:r>
      <w:r w:rsidRPr="00710640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беременных женщин, освоено </w:t>
      </w:r>
      <w:r w:rsidR="00710640" w:rsidRPr="00710640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185640</w:t>
      </w:r>
      <w:r w:rsidR="00D87D02" w:rsidRPr="00710640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710640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рублей. Кормящие женщины обеспечиваются лечебным питанием:</w:t>
      </w:r>
      <w:r w:rsidRPr="00710640">
        <w:rPr>
          <w:rFonts w:ascii="Times New Roman" w:eastAsia="Arial Unicode MS" w:hAnsi="Times New Roman" w:cs="Mangal"/>
          <w:kern w:val="3"/>
          <w:sz w:val="28"/>
          <w:szCs w:val="28"/>
          <w:u w:val="single"/>
          <w:lang w:eastAsia="zh-CN" w:bidi="hi-IN"/>
        </w:rPr>
        <w:t xml:space="preserve"> Беллакт Мама, МД МИЛ Мама,  Мама и я</w:t>
      </w:r>
      <w:r w:rsidRPr="00710640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,</w:t>
      </w:r>
      <w:r w:rsidR="00D87D02" w:rsidRPr="00710640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обеспечено 80</w:t>
      </w:r>
      <w:r w:rsidRPr="00710640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кормящих матерей на сумму-</w:t>
      </w:r>
      <w:r w:rsidR="00D87D02" w:rsidRPr="00710640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710640" w:rsidRPr="00710640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146650,68</w:t>
      </w:r>
      <w:r w:rsidRPr="00710640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рублей.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Готовность учреждения к работе проводится в соответствии с  Порядками  и стандартами оказания медицинской помощи детям.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Население Труновского района по </w:t>
      </w:r>
      <w:proofErr w:type="gramStart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проводимым</w:t>
      </w:r>
      <w:proofErr w:type="gramEnd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анкетированиям удовлет</w:t>
      </w:r>
      <w:r w:rsidR="00504E28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ворено медицинской помощью на 96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%.</w:t>
      </w:r>
    </w:p>
    <w:p w:rsidR="00B80D66" w:rsidRPr="00B80D66" w:rsidRDefault="00B80D66" w:rsidP="00B80D66">
      <w:pPr>
        <w:suppressAutoHyphens/>
        <w:autoSpaceDN w:val="0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b/>
          <w:i/>
          <w:kern w:val="3"/>
          <w:sz w:val="28"/>
          <w:szCs w:val="28"/>
          <w:lang w:eastAsia="zh-CN" w:bidi="hi-IN"/>
        </w:rPr>
        <w:t xml:space="preserve">         </w:t>
      </w:r>
      <w:r w:rsidR="00504E28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ВЫВОДЫ:  В   2021 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г. педиатрическая  служба  Труновского  района  продолжала  оказание лечебно-профилактической помощи детскому населению.</w:t>
      </w:r>
    </w:p>
    <w:p w:rsidR="00B80D66" w:rsidRPr="00B80D66" w:rsidRDefault="00B80D66" w:rsidP="00B80D66">
      <w:pPr>
        <w:suppressAutoHyphens/>
        <w:autoSpaceDN w:val="0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lastRenderedPageBreak/>
        <w:t xml:space="preserve">   </w:t>
      </w:r>
      <w:proofErr w:type="gramStart"/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Охват  профилактическими  прививками  в  декретированные  возр</w:t>
      </w:r>
      <w:r w:rsidR="00F4438A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аста  составил  в среднем от  95  до  97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%,  охват  профилактическими  осмотрами  детей  декретированных  возрастных  групп  составил  от  96  до  100%. </w:t>
      </w:r>
      <w:r w:rsidR="00D4712F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П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оказател</w:t>
      </w:r>
      <w:r w:rsidR="00334FBD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ь младенческой смертности увеличил</w:t>
      </w: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ся.</w:t>
      </w:r>
      <w:proofErr w:type="gramEnd"/>
    </w:p>
    <w:p w:rsidR="00B80D66" w:rsidRPr="00B80D66" w:rsidRDefault="00B80D66" w:rsidP="00B80D66">
      <w:pPr>
        <w:suppressAutoHyphens/>
        <w:autoSpaceDN w:val="0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 xml:space="preserve">      В ГБУЗСК «Труновская РБ» разработан план по снижению смертности среди детского населения:</w:t>
      </w:r>
    </w:p>
    <w:p w:rsidR="00B80D66" w:rsidRPr="00B80D66" w:rsidRDefault="00B80D66" w:rsidP="00B80D66">
      <w:pPr>
        <w:suppressAutoHyphens/>
        <w:autoSpaceDN w:val="0"/>
        <w:spacing w:after="15" w:line="240" w:lineRule="auto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80D66">
        <w:rPr>
          <w:rFonts w:ascii="Times New Roman" w:eastAsia="Arial Unicode MS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 </w:t>
      </w:r>
    </w:p>
    <w:tbl>
      <w:tblPr>
        <w:tblW w:w="90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713"/>
        <w:gridCol w:w="1983"/>
        <w:gridCol w:w="2831"/>
      </w:tblGrid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D66" w:rsidRPr="00B80D66" w:rsidRDefault="00B80D66" w:rsidP="00B80D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B80D66" w:rsidRPr="00B80D66" w:rsidRDefault="00B80D66" w:rsidP="00B80D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B80D66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B80D66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D66" w:rsidRPr="00B80D66" w:rsidRDefault="00B80D66" w:rsidP="00B80D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Наименование мероприятий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D66" w:rsidRPr="00B80D66" w:rsidRDefault="00B80D66" w:rsidP="00B80D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Срок исполнения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D66" w:rsidRPr="00B80D66" w:rsidRDefault="00B80D66" w:rsidP="00B80D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Ответственный</w:t>
            </w:r>
          </w:p>
          <w:p w:rsidR="00B80D66" w:rsidRPr="00B80D66" w:rsidRDefault="00B80D66" w:rsidP="00B80D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за исполнение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1. Организационные мероприятия по повышению качества лечебно-профилактической работы.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Проводить анализ заболеваемости детей первого года жизни в т.ч. из групп социального риска с оценкой мероприятий по ее снижению.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ежеквартально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504E28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Заведующая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Проводить анализ показателей младенческой смертности в районе с целью выявления управляемых причин.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ежеквартально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Заведующая поликлиникой детской 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Рассматривать каждый случай младенческой смертности на мед</w:t>
            </w:r>
            <w:proofErr w:type="gramStart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оветах.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 раз в 6 месяцев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Заведующая поликлиникой детской 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Передавать списки вновь выявленных асоциальных семей в районную администрацию и сельские поселения для постановки их на учет.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Заведующая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Привлекать районную администрацию и глав сельских поселений к работе с детьми из асоциальных семей, в т.ч. осуществлять помощь в случае необходимости госпитализации детей в ЦРБ с привлечением транспорта и органов опеки и попечительства.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 случае необходимости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Заведующая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Принимать участие в работе комиссии при администрации района с социально неблагополучными семьями.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 раз в две недели</w:t>
            </w:r>
          </w:p>
          <w:p w:rsidR="00B80D66" w:rsidRPr="00B80D66" w:rsidRDefault="00B80D66" w:rsidP="00B80D66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504E28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Заведующая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 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2. Мероприятия по охране здоровья плода.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Обеспечить раннюю постановку беременных на учет, соблюдение протоколов обследования и лечения в случае необходимости.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504E28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Врачи женской консультации, районный акушер-гинеколог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Обеспечить своевременные консультации беременных узкими специалистами.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504E28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Районный акушер-гинеколог</w:t>
            </w:r>
            <w:proofErr w:type="gramStart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рачи женской консультацией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Обеспечить 100% обследование беременных на заболевания, передающихся половым путем на этапах предшествующих беременности и в ранние сроки беременности - методом ПЦР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 Врачи женской консультацией</w:t>
            </w:r>
          </w:p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Районный акушер-гинеколог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Обеспечить своевременное комплексное лечение выявленной экстрагенитальной патологии.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Врачи женской консультации,</w:t>
            </w:r>
          </w:p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Районный акушер-гинеколог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Проводить, при необходимости, своевременные консультации краевыми специалистами родильниц и новорожденных по линии сан</w:t>
            </w:r>
            <w:proofErr w:type="gramStart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а</w:t>
            </w:r>
            <w:proofErr w:type="gramEnd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виации, РКЦ с последующей госпитализацией их в краевые  ЛПУ.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 необходимости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Врачи женской консультации</w:t>
            </w:r>
          </w:p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Районный акушер-гинеколог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Обеспечить строгое выполнение протоколов ведения беременных с инфекцией мочевыводящих путей, воспалительными заболеваниями нижнего отдела полового тракта.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Врачи женской консультации</w:t>
            </w:r>
          </w:p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Районный акушер-гинеколог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Обеспечить проведение родов  </w:t>
            </w:r>
            <w:proofErr w:type="gramStart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согласно</w:t>
            </w:r>
            <w:proofErr w:type="gramEnd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индивидуальных планов с применением адекватного обезболивания, профилактики внутриутробной гипоксии плода, асфиксии и родовых травм.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504E28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Районный акушер-гинеколог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Повысить качество оказания первичной реанимационной помощи новорожденным: провести семинар с участковыми педиатрами на данную тему.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 раз в квартал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Заведующая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Проводить лечение новорожденных согласно «Клинико-диагностическим стандартам в неонтологии».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Заведующая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10.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Обеспечить преемственность между педиатрической, терапевтической и акушерско-гинекологической службами.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504E28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детской,</w:t>
            </w:r>
            <w:r w:rsidR="00504E2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взрослой</w:t>
            </w:r>
          </w:p>
          <w:p w:rsidR="00B80D66" w:rsidRPr="00B80D66" w:rsidRDefault="00B80D66" w:rsidP="00504E28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врачи женской консультации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Усилить работу с неблагополучными семьями в плане профилактики нежелательной беременности.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504E28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Районный акушер-гинеколог</w:t>
            </w:r>
          </w:p>
          <w:p w:rsidR="00B80D66" w:rsidRPr="00B80D66" w:rsidRDefault="00B80D66" w:rsidP="00504E28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Врачи женской консультации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Активизировать работу «школ беременных».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 соответствии с графиком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504E28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Районный акушер-гинеколог</w:t>
            </w:r>
            <w:r w:rsidR="00504E28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врачи женской консультации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Обеспечить участие гинеколога при проведении диспансеризации детского и подросткового контингента с целью выявления имеющейся патологии и дальнейшего оздоровления.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 соответствии с графиком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504E28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взрослой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Регулярно проводить тематические конференции по актуальным вопросам акушерства и гинекологии с сотрудниками отделения, фельдшерами ФП, акушерками ВА, участковых больниц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Согласно   графика</w:t>
            </w:r>
            <w:proofErr w:type="gramEnd"/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504E28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Районный акушер-гинеколог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Своевременное осуществление консультаций беременных с высокой степенью риска осложнений комиссией по высокой степени риска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 необходимости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504E28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Районный акушер-гинеколог</w:t>
            </w:r>
          </w:p>
        </w:tc>
      </w:tr>
      <w:tr w:rsidR="00B80D66" w:rsidRPr="00B80D66" w:rsidTr="00504E28">
        <w:trPr>
          <w:trHeight w:val="835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3.Мероприятия по охране здоровья детей 1 года жизни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Улучшить качество работы участковых педиатров, патронажных медсестер и фельдшеров ФП с детьми из асоциальных семей, детьми из группы риска:</w:t>
            </w:r>
          </w:p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-обеспечить посещение детей первого года жизни из групп риска и асоциальных семей:</w:t>
            </w:r>
          </w:p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-медсестрам 2 раза в неделю до 1 месяца, 1 раз в неделю до 2-х месяцев, 1 раз в 10 дней до 3-х месяцев в последующем 2 раза в месяц</w:t>
            </w:r>
          </w:p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-участковым педиатрам осматривать детей 1-го месяца на дому в первые 3 дня после выписки </w:t>
            </w: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из род</w:t>
            </w:r>
            <w:proofErr w:type="gramStart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тационара, второй патронаж- на 14 день, третий – на 21 день;</w:t>
            </w:r>
          </w:p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на 2-м месяце - 3 раза в месяц на дому и 1 раз в месяц на приеме</w:t>
            </w:r>
          </w:p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на 3-м - 6-м месяце - 2 раза на дому, в последующем 1 раз в месяц на дому и в поликлинике.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детской</w:t>
            </w:r>
          </w:p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зам. главного врача по МОНР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Обеспечить обследование детей угрожаемых по внутриутробному инфицированию.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Обеспечить лабораторное обследование детей перед вакцинацией против управляемых инфекций.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Обеспечить выполнение плана иммунизации детского населения </w:t>
            </w:r>
            <w:proofErr w:type="gramStart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согласно</w:t>
            </w:r>
            <w:proofErr w:type="gramEnd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национального календаря проф. прививок.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ежемесячно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Привлекать узких специалистов с целью выявления имеющейся патологии у детей раннего возраста.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Обеспечить раннюю госпитализацию заболевших детей.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 случае невозможности госпитализации осматривать больных детей ежедневно на дому до их выздоровления.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Проводить анализ инфекционной заболеваемости у детей раннего возраста с точки зрения возможности клинической манифестации внутриутробного инфицирования.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ежемесячно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Привлекать специалистов областных ЛПУ для консультативной помощи и своевременной транспортировки больных в соответствующие учреждения.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504E28" w:rsidP="00504E28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</w:t>
            </w:r>
            <w:r w:rsidR="00B80D66"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</w:t>
            </w: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B80D66"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необходимости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Применять стандарты диагностики и лечения болезней органов дыхания, пищеварения и др.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11.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Продолжить работу по пропаганде преимущества грудного вскармливания.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Проводить занятия с фельдшерами ФАП и участковыми медсестрами по вопросам: «Профилактика, ранняя диагностика и лечение вирусных инфекций». «Оказание первой доврачебной помощи при состояниях угрожающих жизни ребенка».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ежемесячно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Продолжить плановые выезды педиатров и специалистов РБ на ФП с целью осуществления динамического наблюдения за здоровьем детей в т. ч. 1-го года жизни.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Согласно графика</w:t>
            </w:r>
            <w:proofErr w:type="gramEnd"/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6412CC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Зам. главного врача по ОМ</w:t>
            </w:r>
            <w:r w:rsidR="00B80D66"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Обеспечить повышение квалификации фельдшеров ФАП, участковых медсестер, врачей педиатров, акушеров-гинекологов.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 раз в пять лет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Главный врач ГБУЗ СК Труновская «РБ»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15.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Усилить работу по гигиеническому воспитанию юношей и девушек подростков с целью создания здоровой семьи и рождения здоровых детей.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Врачи женской консультации, </w:t>
            </w:r>
          </w:p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детской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16.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Повысить уровень санитарно-просветительной работы среди девушек подростков и женщин фертильного возраста по вопросам профилактики заболеваний, передающихся половым путем.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Врачи женской консультации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17.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Регулярное проведение лекций, бесед, выпуск санбюллетеней по вопросам профилактики ранней и нежелательной беременности, профилактике абортов.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Врачи женской консультации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18.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Опубликовать в местной прессе  статью о профилактике инфекционных заболеваний у детей, о необходимости раннего обращения родителей за медицинской помощью при заболевании ребенка, статью «Ребенок должен быть желанным».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ED597E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Октябрь 2021</w:t>
            </w:r>
            <w:r w:rsidR="00B80D66"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детской</w:t>
            </w:r>
          </w:p>
        </w:tc>
      </w:tr>
      <w:tr w:rsidR="00B80D66" w:rsidRPr="00B80D66" w:rsidTr="00504E28">
        <w:trPr>
          <w:trHeight w:val="593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3. Гигиеническое воспитание населения.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1.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Усилить работу по гигиеническому воспитанию юношей и девушек подростков с целью создания здоровой семьи и рождения здоровых детей.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Зав. поликлиникой детской </w:t>
            </w:r>
          </w:p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взрослой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Повысить уровень санитарно-просветительной работы среди девушек подростков и женщин фертильного возраста по вопросам профилактики заболеваний, передающихся половым путем.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постоянно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детской</w:t>
            </w:r>
          </w:p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 Зав. поликлиникой взрослой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Регулярное проведение лекций, бесед, выпуск санбюллетеней по вопросам профилактики ранней и нежелательной беременности, профилактике абортов.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Врачи женской консультации</w:t>
            </w:r>
          </w:p>
        </w:tc>
      </w:tr>
      <w:tr w:rsidR="00B80D66" w:rsidRPr="00B80D66" w:rsidTr="00B80D66">
        <w:trPr>
          <w:trHeight w:val="1067"/>
        </w:trPr>
        <w:tc>
          <w:tcPr>
            <w:tcW w:w="5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Опубликовать в местной прессе  статью о профилактике инфекционных заболеваний у детей, о необходимости раннего обращения родителей за медицинской помощью при заболевании ребенка, статью «Ребенок должен быть желанным».</w:t>
            </w:r>
          </w:p>
        </w:tc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504E28" w:rsidP="00B80D66">
            <w:pPr>
              <w:suppressAutoHyphens/>
              <w:autoSpaceDN w:val="0"/>
              <w:spacing w:after="15" w:line="240" w:lineRule="auto"/>
              <w:jc w:val="center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 Ноябрь 2022</w:t>
            </w:r>
            <w:r w:rsidR="00B80D66"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г.</w:t>
            </w:r>
          </w:p>
        </w:tc>
        <w:tc>
          <w:tcPr>
            <w:tcW w:w="2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 xml:space="preserve">Зав. поликлиникой детской </w:t>
            </w:r>
          </w:p>
          <w:p w:rsidR="00B80D66" w:rsidRPr="00B80D66" w:rsidRDefault="00B80D66" w:rsidP="00B80D66">
            <w:pPr>
              <w:suppressAutoHyphens/>
              <w:autoSpaceDN w:val="0"/>
              <w:spacing w:after="15" w:line="240" w:lineRule="auto"/>
              <w:textAlignment w:val="baseline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80D66"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  <w:t>Зав. поликлиникой взрослой</w:t>
            </w:r>
          </w:p>
        </w:tc>
      </w:tr>
    </w:tbl>
    <w:p w:rsidR="00B80D66" w:rsidRPr="00B80D66" w:rsidRDefault="00B80D66" w:rsidP="00B80D66">
      <w:pPr>
        <w:suppressAutoHyphens/>
        <w:autoSpaceDN w:val="0"/>
        <w:textAlignment w:val="baseline"/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</w:pPr>
    </w:p>
    <w:p w:rsidR="00607EAC" w:rsidRDefault="00607EAC"/>
    <w:sectPr w:rsidR="00607EAC" w:rsidSect="00D9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948"/>
    <w:multiLevelType w:val="hybridMultilevel"/>
    <w:tmpl w:val="D9E8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66"/>
    <w:rsid w:val="00027038"/>
    <w:rsid w:val="00154C4F"/>
    <w:rsid w:val="001836CB"/>
    <w:rsid w:val="001D4E5A"/>
    <w:rsid w:val="00222004"/>
    <w:rsid w:val="00264487"/>
    <w:rsid w:val="00334FBD"/>
    <w:rsid w:val="00390492"/>
    <w:rsid w:val="003A0443"/>
    <w:rsid w:val="003C6EA3"/>
    <w:rsid w:val="003D4D2E"/>
    <w:rsid w:val="004046D5"/>
    <w:rsid w:val="004502CB"/>
    <w:rsid w:val="004766BA"/>
    <w:rsid w:val="004A37C3"/>
    <w:rsid w:val="004B2ED9"/>
    <w:rsid w:val="00504E28"/>
    <w:rsid w:val="0060169C"/>
    <w:rsid w:val="00607EAC"/>
    <w:rsid w:val="0061180B"/>
    <w:rsid w:val="00624B87"/>
    <w:rsid w:val="0063191C"/>
    <w:rsid w:val="006412CC"/>
    <w:rsid w:val="00652F74"/>
    <w:rsid w:val="006F0326"/>
    <w:rsid w:val="00710640"/>
    <w:rsid w:val="007C5008"/>
    <w:rsid w:val="007F5650"/>
    <w:rsid w:val="00836E26"/>
    <w:rsid w:val="00851E65"/>
    <w:rsid w:val="00877A26"/>
    <w:rsid w:val="00887906"/>
    <w:rsid w:val="008E45C1"/>
    <w:rsid w:val="00A16A0E"/>
    <w:rsid w:val="00A36346"/>
    <w:rsid w:val="00A6583F"/>
    <w:rsid w:val="00AA7E36"/>
    <w:rsid w:val="00B80D66"/>
    <w:rsid w:val="00C34E41"/>
    <w:rsid w:val="00CF197A"/>
    <w:rsid w:val="00D25EC7"/>
    <w:rsid w:val="00D40371"/>
    <w:rsid w:val="00D4712F"/>
    <w:rsid w:val="00D87D02"/>
    <w:rsid w:val="00D93F77"/>
    <w:rsid w:val="00E505EF"/>
    <w:rsid w:val="00EC03CD"/>
    <w:rsid w:val="00ED597E"/>
    <w:rsid w:val="00EE23C5"/>
    <w:rsid w:val="00F4438A"/>
    <w:rsid w:val="00FA1526"/>
    <w:rsid w:val="00FB195D"/>
    <w:rsid w:val="00FB57B6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0D66"/>
  </w:style>
  <w:style w:type="paragraph" w:customStyle="1" w:styleId="Standard">
    <w:name w:val="Standard"/>
    <w:rsid w:val="00B80D66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qFormat/>
    <w:rsid w:val="00B80D6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B80D66"/>
    <w:rPr>
      <w:rFonts w:ascii="Arial" w:eastAsia="Arial Unicode MS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80D66"/>
    <w:pPr>
      <w:spacing w:after="120"/>
    </w:pPr>
  </w:style>
  <w:style w:type="paragraph" w:styleId="a5">
    <w:name w:val="List"/>
    <w:basedOn w:val="Textbody"/>
    <w:rsid w:val="00B80D66"/>
  </w:style>
  <w:style w:type="paragraph" w:styleId="a6">
    <w:name w:val="caption"/>
    <w:basedOn w:val="Standard"/>
    <w:qFormat/>
    <w:rsid w:val="00B80D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D66"/>
    <w:pPr>
      <w:suppressLineNumbers/>
    </w:pPr>
  </w:style>
  <w:style w:type="paragraph" w:styleId="a7">
    <w:name w:val="No Spacing"/>
    <w:qFormat/>
    <w:rsid w:val="00B80D66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B80D6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imes New Roman"/>
      <w:sz w:val="16"/>
      <w:szCs w:val="14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B80D66"/>
    <w:rPr>
      <w:rFonts w:ascii="Tahoma" w:eastAsia="Arial Unicode MS" w:hAnsi="Tahoma" w:cs="Times New Roman"/>
      <w:sz w:val="16"/>
      <w:szCs w:val="14"/>
      <w:lang w:val="x-none" w:eastAsia="x-none"/>
    </w:rPr>
  </w:style>
  <w:style w:type="paragraph" w:styleId="aa">
    <w:name w:val="List Paragraph"/>
    <w:basedOn w:val="a"/>
    <w:uiPriority w:val="34"/>
    <w:qFormat/>
    <w:rsid w:val="00C34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0D66"/>
  </w:style>
  <w:style w:type="paragraph" w:customStyle="1" w:styleId="Standard">
    <w:name w:val="Standard"/>
    <w:rsid w:val="00B80D66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qFormat/>
    <w:rsid w:val="00B80D6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B80D66"/>
    <w:rPr>
      <w:rFonts w:ascii="Arial" w:eastAsia="Arial Unicode MS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B80D66"/>
    <w:pPr>
      <w:spacing w:after="120"/>
    </w:pPr>
  </w:style>
  <w:style w:type="paragraph" w:styleId="a5">
    <w:name w:val="List"/>
    <w:basedOn w:val="Textbody"/>
    <w:rsid w:val="00B80D66"/>
  </w:style>
  <w:style w:type="paragraph" w:styleId="a6">
    <w:name w:val="caption"/>
    <w:basedOn w:val="Standard"/>
    <w:qFormat/>
    <w:rsid w:val="00B80D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D66"/>
    <w:pPr>
      <w:suppressLineNumbers/>
    </w:pPr>
  </w:style>
  <w:style w:type="paragraph" w:styleId="a7">
    <w:name w:val="No Spacing"/>
    <w:qFormat/>
    <w:rsid w:val="00B80D66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B80D66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imes New Roman"/>
      <w:sz w:val="16"/>
      <w:szCs w:val="14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B80D66"/>
    <w:rPr>
      <w:rFonts w:ascii="Tahoma" w:eastAsia="Arial Unicode MS" w:hAnsi="Tahoma" w:cs="Times New Roman"/>
      <w:sz w:val="16"/>
      <w:szCs w:val="14"/>
      <w:lang w:val="x-none" w:eastAsia="x-none"/>
    </w:rPr>
  </w:style>
  <w:style w:type="paragraph" w:styleId="aa">
    <w:name w:val="List Paragraph"/>
    <w:basedOn w:val="a"/>
    <w:uiPriority w:val="34"/>
    <w:qFormat/>
    <w:rsid w:val="00C3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э</cp:lastModifiedBy>
  <cp:revision>3</cp:revision>
  <cp:lastPrinted>2022-01-19T05:12:00Z</cp:lastPrinted>
  <dcterms:created xsi:type="dcterms:W3CDTF">2022-01-19T05:17:00Z</dcterms:created>
  <dcterms:modified xsi:type="dcterms:W3CDTF">2022-01-19T07:02:00Z</dcterms:modified>
</cp:coreProperties>
</file>