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4BEB13E4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</w:t>
      </w:r>
      <w:proofErr w:type="gramStart"/>
      <w:r w:rsidR="00C84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="00FF0723" w:rsidRPr="00FF0723">
        <w:rPr>
          <w:color w:val="000000"/>
          <w:sz w:val="28"/>
          <w:szCs w:val="28"/>
          <w:shd w:val="clear" w:color="auto" w:fill="FFFFFF"/>
        </w:rPr>
        <w:t>Об утверждении Методики установления размера платы за пользование служебным жилым помещением для нанимателей служебных жилых помещений по договорам социального найма и договорам найма служебных жилых помещений муниципального жилищного фонда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78EEBDBE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935758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935758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935758">
        <w:rPr>
          <w:sz w:val="28"/>
          <w:szCs w:val="28"/>
        </w:rPr>
        <w:t>422-п</w:t>
      </w:r>
      <w:r w:rsidR="00E33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FF0723" w:rsidRPr="00FF0723">
        <w:rPr>
          <w:color w:val="000000"/>
          <w:sz w:val="28"/>
          <w:szCs w:val="28"/>
          <w:shd w:val="clear" w:color="auto" w:fill="FFFFFF"/>
        </w:rPr>
        <w:t>Об утверждении Методики установления размера платы за пользование служебным жилым помещением для нанимателей служебных жилых помещений по договорам социального найма и договорам найма служебных жилых помещений муниципального жилищного фонда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 xml:space="preserve">отделом имущественных и земельных отношений администрации Труновского муниципального округа Ставропольского края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721A1F8C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4FEBFA41" w14:textId="2C934D9F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2D6312" w:rsidRPr="002D6312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http://trunovskiy26raion.ru/otsenka-reguliruyushchego-vozdeystviya/?SECTION_ID=589&amp;ELEMENT_ID=18698</w:t>
      </w:r>
    </w:p>
    <w:p w14:paraId="2AEC7345" w14:textId="53AAEC0C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</w:t>
      </w:r>
      <w:r w:rsidRPr="003902A8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6C42" w14:textId="77777777" w:rsidR="00C66C2D" w:rsidRDefault="00C66C2D" w:rsidP="00741DA4">
      <w:r>
        <w:separator/>
      </w:r>
    </w:p>
  </w:endnote>
  <w:endnote w:type="continuationSeparator" w:id="0">
    <w:p w14:paraId="2A7F9CBD" w14:textId="77777777" w:rsidR="00C66C2D" w:rsidRDefault="00C66C2D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46E4" w14:textId="77777777" w:rsidR="00C66C2D" w:rsidRDefault="00C66C2D" w:rsidP="00741DA4">
      <w:r>
        <w:separator/>
      </w:r>
    </w:p>
  </w:footnote>
  <w:footnote w:type="continuationSeparator" w:id="0">
    <w:p w14:paraId="369ACA35" w14:textId="77777777" w:rsidR="00C66C2D" w:rsidRDefault="00C66C2D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0E74"/>
    <w:rsid w:val="00067991"/>
    <w:rsid w:val="0011198B"/>
    <w:rsid w:val="0012351A"/>
    <w:rsid w:val="0015067F"/>
    <w:rsid w:val="001639D0"/>
    <w:rsid w:val="00166FC5"/>
    <w:rsid w:val="00187530"/>
    <w:rsid w:val="00237390"/>
    <w:rsid w:val="002D6312"/>
    <w:rsid w:val="00312884"/>
    <w:rsid w:val="00351359"/>
    <w:rsid w:val="003902A8"/>
    <w:rsid w:val="003A7633"/>
    <w:rsid w:val="003D137B"/>
    <w:rsid w:val="0041723B"/>
    <w:rsid w:val="004A4510"/>
    <w:rsid w:val="004E3793"/>
    <w:rsid w:val="004F7D1E"/>
    <w:rsid w:val="00510236"/>
    <w:rsid w:val="005153D5"/>
    <w:rsid w:val="005438C2"/>
    <w:rsid w:val="00583C0F"/>
    <w:rsid w:val="005A70EA"/>
    <w:rsid w:val="00725269"/>
    <w:rsid w:val="00741DA4"/>
    <w:rsid w:val="007A645B"/>
    <w:rsid w:val="0083464D"/>
    <w:rsid w:val="00844E17"/>
    <w:rsid w:val="00851F62"/>
    <w:rsid w:val="008752FC"/>
    <w:rsid w:val="008878DE"/>
    <w:rsid w:val="0089453E"/>
    <w:rsid w:val="008B4193"/>
    <w:rsid w:val="00905E7D"/>
    <w:rsid w:val="00935758"/>
    <w:rsid w:val="00987D27"/>
    <w:rsid w:val="00A321C9"/>
    <w:rsid w:val="00A74628"/>
    <w:rsid w:val="00AC7F15"/>
    <w:rsid w:val="00B908D1"/>
    <w:rsid w:val="00BB2F6F"/>
    <w:rsid w:val="00BC4204"/>
    <w:rsid w:val="00BF1A02"/>
    <w:rsid w:val="00C003CE"/>
    <w:rsid w:val="00C0544F"/>
    <w:rsid w:val="00C076A4"/>
    <w:rsid w:val="00C2432B"/>
    <w:rsid w:val="00C66C2D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C1BA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2</cp:revision>
  <cp:lastPrinted>2022-03-28T10:49:00Z</cp:lastPrinted>
  <dcterms:created xsi:type="dcterms:W3CDTF">2022-03-28T10:50:00Z</dcterms:created>
  <dcterms:modified xsi:type="dcterms:W3CDTF">2022-03-28T10:50:00Z</dcterms:modified>
</cp:coreProperties>
</file>